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6D3C" w14:textId="645B79B4" w:rsidR="00655736" w:rsidRPr="001D7286" w:rsidRDefault="00655736" w:rsidP="00655736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1D7286">
        <w:rPr>
          <w:rFonts w:ascii="Arial" w:hAnsi="Arial"/>
          <w:b/>
          <w:sz w:val="22"/>
        </w:rPr>
        <w:t>КОНВЕНЦИЯ ОБ ОХРАНЕ</w:t>
      </w:r>
      <w:r w:rsidR="001C1212" w:rsidRPr="001D7286">
        <w:br/>
      </w:r>
      <w:r w:rsidRPr="001D7286">
        <w:rPr>
          <w:rFonts w:ascii="Arial" w:hAnsi="Arial"/>
          <w:b/>
          <w:sz w:val="22"/>
        </w:rPr>
        <w:t>НЕМАТЕРИАЛЬНОГО КУЛЬТУРНОГО НАСЛЕДИЯ</w:t>
      </w:r>
    </w:p>
    <w:p w14:paraId="2CDB5643" w14:textId="77777777" w:rsidR="00655736" w:rsidRPr="001D7286" w:rsidRDefault="00D95C4C" w:rsidP="00655736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1D7286">
        <w:rPr>
          <w:rFonts w:ascii="Arial" w:hAnsi="Arial"/>
          <w:b/>
          <w:sz w:val="22"/>
        </w:rPr>
        <w:t>ГЕНЕРАЛЬНАЯ АССАМБЛЕЯ ГОСУДАРСТВ – УЧАСТНИКОВ КОНВЕНЦИИ</w:t>
      </w:r>
    </w:p>
    <w:p w14:paraId="75891C68" w14:textId="17A6551A" w:rsidR="00D95C4C" w:rsidRPr="001D7286" w:rsidRDefault="003265D0" w:rsidP="00D95C4C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 w:rsidRPr="001D7286">
        <w:rPr>
          <w:rFonts w:ascii="Arial" w:hAnsi="Arial"/>
          <w:b/>
          <w:sz w:val="22"/>
        </w:rPr>
        <w:t>Девятая сессия</w:t>
      </w:r>
    </w:p>
    <w:p w14:paraId="2813BA58" w14:textId="77777777" w:rsidR="00D95C4C" w:rsidRPr="001D7286" w:rsidRDefault="00D95C4C" w:rsidP="00D95C4C">
      <w:pPr>
        <w:jc w:val="center"/>
        <w:rPr>
          <w:rFonts w:ascii="Arial" w:hAnsi="Arial" w:cs="Arial"/>
          <w:b/>
          <w:sz w:val="22"/>
          <w:szCs w:val="22"/>
        </w:rPr>
      </w:pPr>
      <w:r w:rsidRPr="001D7286">
        <w:rPr>
          <w:rFonts w:ascii="Arial" w:hAnsi="Arial"/>
          <w:b/>
          <w:sz w:val="22"/>
        </w:rPr>
        <w:t>Штаб-квартира ЮНЕСКО, зал I</w:t>
      </w:r>
    </w:p>
    <w:p w14:paraId="17E07F7D" w14:textId="5799B785" w:rsidR="00655736" w:rsidRPr="001D7286" w:rsidRDefault="003265D0" w:rsidP="00D95C4C">
      <w:pPr>
        <w:jc w:val="center"/>
        <w:rPr>
          <w:rFonts w:ascii="Arial" w:hAnsi="Arial" w:cs="Arial"/>
          <w:b/>
          <w:sz w:val="22"/>
          <w:szCs w:val="22"/>
        </w:rPr>
      </w:pPr>
      <w:r w:rsidRPr="001D7286">
        <w:rPr>
          <w:rFonts w:ascii="Arial" w:hAnsi="Arial"/>
          <w:b/>
          <w:sz w:val="22"/>
        </w:rPr>
        <w:t>5 – 7 июля 2022 г.</w:t>
      </w:r>
    </w:p>
    <w:p w14:paraId="1A8796C2" w14:textId="02010C17" w:rsidR="00655736" w:rsidRPr="001D7286" w:rsidRDefault="00655736" w:rsidP="00655736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1D7286">
        <w:rPr>
          <w:rFonts w:ascii="Arial" w:hAnsi="Arial"/>
          <w:b/>
          <w:sz w:val="22"/>
          <w:u w:val="single"/>
        </w:rPr>
        <w:t>Пункт 5 предварительной повестки дня</w:t>
      </w:r>
      <w:r w:rsidRPr="001D7286">
        <w:rPr>
          <w:rFonts w:ascii="Arial" w:hAnsi="Arial"/>
          <w:b/>
          <w:sz w:val="22"/>
        </w:rPr>
        <w:t>:</w:t>
      </w:r>
    </w:p>
    <w:p w14:paraId="737DF62F" w14:textId="77777777" w:rsidR="00072AEB" w:rsidRDefault="00154062" w:rsidP="00072AEB">
      <w:pPr>
        <w:pStyle w:val="COMParaDecision"/>
        <w:spacing w:after="1200"/>
        <w:ind w:left="0" w:firstLine="0"/>
        <w:contextualSpacing/>
        <w:jc w:val="center"/>
        <w:rPr>
          <w:b/>
          <w:u w:val="none"/>
        </w:rPr>
      </w:pPr>
      <w:r w:rsidRPr="001D7286">
        <w:rPr>
          <w:b/>
          <w:u w:val="none"/>
        </w:rPr>
        <w:t>Доклад Комитета Генеральной Ассамблее</w:t>
      </w:r>
    </w:p>
    <w:p w14:paraId="4EECCC58" w14:textId="6A8460AE" w:rsidR="00154062" w:rsidRPr="001D7286" w:rsidRDefault="00154062" w:rsidP="00072AEB">
      <w:pPr>
        <w:pStyle w:val="COMParaDecision"/>
        <w:spacing w:after="1200"/>
        <w:ind w:left="0" w:firstLine="0"/>
        <w:jc w:val="center"/>
        <w:rPr>
          <w:b/>
          <w:bCs/>
          <w:u w:val="none"/>
        </w:rPr>
      </w:pPr>
      <w:r w:rsidRPr="001D7286">
        <w:rPr>
          <w:b/>
          <w:u w:val="none"/>
        </w:rPr>
        <w:t>(январь 2020 г. – декабрь 2021 г.)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655736" w:rsidRPr="001D7286" w14:paraId="796B6D01" w14:textId="77777777" w:rsidTr="002F312A">
        <w:trPr>
          <w:jc w:val="center"/>
        </w:trPr>
        <w:tc>
          <w:tcPr>
            <w:tcW w:w="5670" w:type="dxa"/>
            <w:vAlign w:val="center"/>
          </w:tcPr>
          <w:p w14:paraId="08389200" w14:textId="316AAF3B" w:rsidR="0057439C" w:rsidRPr="001D7286" w:rsidRDefault="0057439C" w:rsidP="005B7A35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286">
              <w:rPr>
                <w:rFonts w:ascii="Arial" w:hAnsi="Arial"/>
                <w:b/>
                <w:sz w:val="22"/>
              </w:rPr>
              <w:t>Резюме</w:t>
            </w:r>
          </w:p>
          <w:p w14:paraId="54317D3B" w14:textId="0652CE25" w:rsidR="001E5B4E" w:rsidRPr="001D7286" w:rsidRDefault="00154062" w:rsidP="001E6CD3">
            <w:pPr>
              <w:pStyle w:val="Sansinterligne1"/>
              <w:spacing w:before="200" w:after="2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D7286">
              <w:rPr>
                <w:rFonts w:ascii="Arial" w:hAnsi="Arial"/>
                <w:sz w:val="22"/>
              </w:rPr>
              <w:t>Статья 30.1 Конвенции 2003 года гласит: «Комитет представляет каждой сессии Генеральной ассамблеи доклад, подготавливаемый на основе его деятельности и докладов государств-участников [...]». Настоящий документ содержит доклад о деятельности Комитета с января 2020 года по декабрь 2021 года, включая обзор докладов государств-участников, утвержденных на пятнадцатой и шестнадцатой сессиях Комитета.</w:t>
            </w:r>
          </w:p>
          <w:p w14:paraId="7D45CA36" w14:textId="634DB787" w:rsidR="00655736" w:rsidRPr="001D7286" w:rsidRDefault="00FB6630" w:rsidP="005B7A35">
            <w:pPr>
              <w:pStyle w:val="Sansinterligne2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7286">
              <w:rPr>
                <w:rFonts w:ascii="Arial" w:hAnsi="Arial"/>
                <w:b/>
                <w:sz w:val="22"/>
              </w:rPr>
              <w:t xml:space="preserve">Требуемое решение: </w:t>
            </w:r>
            <w:r w:rsidRPr="001D7286">
              <w:rPr>
                <w:rFonts w:ascii="Arial" w:hAnsi="Arial"/>
                <w:sz w:val="22"/>
              </w:rPr>
              <w:t>пункт 4</w:t>
            </w:r>
          </w:p>
        </w:tc>
      </w:tr>
    </w:tbl>
    <w:p w14:paraId="2941B514" w14:textId="77777777" w:rsidR="00176720" w:rsidRPr="001D7286" w:rsidRDefault="00655736" w:rsidP="00176720">
      <w:pPr>
        <w:pStyle w:val="GAPara"/>
        <w:numPr>
          <w:ilvl w:val="0"/>
          <w:numId w:val="0"/>
        </w:numPr>
        <w:jc w:val="both"/>
      </w:pPr>
      <w:r w:rsidRPr="001D7286">
        <w:br w:type="page"/>
      </w:r>
    </w:p>
    <w:p w14:paraId="45CE5E74" w14:textId="77777777" w:rsidR="004B5F45" w:rsidRPr="001D7286" w:rsidRDefault="002268F1" w:rsidP="008D79D6">
      <w:pPr>
        <w:pStyle w:val="Marge"/>
        <w:numPr>
          <w:ilvl w:val="0"/>
          <w:numId w:val="19"/>
        </w:numPr>
        <w:spacing w:after="120"/>
        <w:ind w:left="567" w:hanging="567"/>
        <w:rPr>
          <w:rFonts w:eastAsia="Arial" w:cs="Arial"/>
          <w:szCs w:val="22"/>
        </w:rPr>
      </w:pPr>
      <w:r w:rsidRPr="001D7286">
        <w:lastRenderedPageBreak/>
        <w:t xml:space="preserve">Статья 30.1 Конвенции об охране нематериального культурного наследия 2003 года гласит: «Комитет представляет каждой сессии Генеральной ассамблеи доклад, подготавливаемый на основе его деятельности и докладов государств-участников [...]». В статье 30.2 отмечается, что «[э]тот доклад доводится до сведения Генеральной конференции ЮНЕСКО». Период, к которому относится настоящий доклад – с января 2020 г. по декабрь 2021 г. </w:t>
      </w:r>
    </w:p>
    <w:p w14:paraId="3EC96C01" w14:textId="6463F785" w:rsidR="002268F1" w:rsidRPr="001D7286" w:rsidRDefault="002268F1" w:rsidP="008D79D6">
      <w:pPr>
        <w:pStyle w:val="Marge"/>
        <w:numPr>
          <w:ilvl w:val="0"/>
          <w:numId w:val="19"/>
        </w:numPr>
        <w:spacing w:after="120"/>
        <w:ind w:left="567" w:hanging="567"/>
        <w:rPr>
          <w:rFonts w:eastAsia="Arial" w:cs="Arial"/>
          <w:szCs w:val="22"/>
        </w:rPr>
      </w:pPr>
      <w:r w:rsidRPr="001D7286">
        <w:t>Этот отчетный период соответствует положениям Резолюции </w:t>
      </w:r>
      <w:hyperlink r:id="rId8" w:history="1">
        <w:r w:rsidRPr="001D7286">
          <w:rPr>
            <w:rStyle w:val="Hyperlink"/>
            <w:szCs w:val="22"/>
          </w:rPr>
          <w:t>6.GA 5</w:t>
        </w:r>
      </w:hyperlink>
      <w:r w:rsidRPr="001D7286">
        <w:t>, согласно которой Генеральной Ассамблеей было предложено придерживаться двухгодичного формата для будущих докладов. В связи с этим доклад Комитета представлен в приложении к настоящему документу. Доклад также содержит обзор национальных докладов, представленных государствами-участниками, в смысле статьи 29 Конвенции, которые были утверждены Комитетом на его пятнадцатой и шестнадцатой сессиях.</w:t>
      </w:r>
    </w:p>
    <w:p w14:paraId="504125DF" w14:textId="58AA1A48" w:rsidR="002268F1" w:rsidRPr="001D7286" w:rsidRDefault="00B71177" w:rsidP="002268F1">
      <w:pPr>
        <w:pStyle w:val="Marge"/>
        <w:numPr>
          <w:ilvl w:val="0"/>
          <w:numId w:val="19"/>
        </w:numPr>
        <w:spacing w:after="120"/>
        <w:ind w:left="567" w:hanging="567"/>
        <w:rPr>
          <w:rFonts w:eastAsia="Arial" w:cs="Arial"/>
          <w:szCs w:val="22"/>
        </w:rPr>
      </w:pPr>
      <w:r w:rsidRPr="001D7286">
        <w:t>Кроме того, данный доклад следует рассматривать совместно с докладом Секретариата о своей деятельности (документ </w:t>
      </w:r>
      <w:hyperlink r:id="rId9" w:history="1">
        <w:r w:rsidRPr="001D7286">
          <w:rPr>
            <w:rStyle w:val="Hyperlink"/>
          </w:rPr>
          <w:t>LHE/22/9.GA/6</w:t>
        </w:r>
      </w:hyperlink>
      <w:r w:rsidRPr="001D7286">
        <w:t xml:space="preserve">), а также докладом о Фонде нематериального культурного наследия (документ </w:t>
      </w:r>
      <w:hyperlink r:id="rId10" w:history="1">
        <w:r w:rsidRPr="001D7286">
          <w:rPr>
            <w:rStyle w:val="Hyperlink"/>
          </w:rPr>
          <w:t>LHE/22/9.GA/INF.</w:t>
        </w:r>
        <w:r w:rsidR="00BF4FAA" w:rsidRPr="001D7286">
          <w:rPr>
            <w:rStyle w:val="Hyperlink"/>
          </w:rPr>
          <w:t>10</w:t>
        </w:r>
      </w:hyperlink>
      <w:r w:rsidRPr="001D7286">
        <w:t>).</w:t>
      </w:r>
    </w:p>
    <w:p w14:paraId="6E56CF19" w14:textId="77777777" w:rsidR="002268F1" w:rsidRPr="001D7286" w:rsidRDefault="002268F1" w:rsidP="002268F1">
      <w:pPr>
        <w:keepNext/>
        <w:numPr>
          <w:ilvl w:val="0"/>
          <w:numId w:val="19"/>
        </w:numPr>
        <w:ind w:left="567" w:hanging="567"/>
        <w:jc w:val="both"/>
        <w:rPr>
          <w:rFonts w:ascii="Arial" w:eastAsia="SimSun" w:hAnsi="Arial" w:cs="Arial"/>
          <w:sz w:val="22"/>
          <w:szCs w:val="22"/>
        </w:rPr>
      </w:pPr>
      <w:r w:rsidRPr="001D7286">
        <w:rPr>
          <w:rFonts w:ascii="Arial" w:hAnsi="Arial"/>
          <w:sz w:val="22"/>
        </w:rPr>
        <w:t>Генеральной ассамблее предлагается принять резолюцию следующего содержания:</w:t>
      </w:r>
    </w:p>
    <w:p w14:paraId="1353F24A" w14:textId="12B4E546" w:rsidR="002268F1" w:rsidRPr="001D7286" w:rsidRDefault="002268F1" w:rsidP="002268F1">
      <w:pPr>
        <w:pStyle w:val="GATitleResolution"/>
      </w:pPr>
      <w:r w:rsidRPr="001D7286">
        <w:t>ПРОЕКТ РЕЗОЛЮЦИИ 9.GA 5</w:t>
      </w:r>
    </w:p>
    <w:p w14:paraId="1682AC45" w14:textId="07988AAF" w:rsidR="002268F1" w:rsidRPr="001D7286" w:rsidRDefault="002268F1" w:rsidP="002268F1">
      <w:pPr>
        <w:pStyle w:val="GAPreambulaResolution"/>
        <w:rPr>
          <w:rFonts w:eastAsia="SimSun"/>
        </w:rPr>
      </w:pPr>
      <w:r w:rsidRPr="001D7286">
        <w:t xml:space="preserve">Генеральная </w:t>
      </w:r>
      <w:r w:rsidR="00072AEB">
        <w:rPr>
          <w:lang w:val="en-GB"/>
        </w:rPr>
        <w:t>a</w:t>
      </w:r>
      <w:r w:rsidRPr="001D7286">
        <w:t>ссамблея,</w:t>
      </w:r>
    </w:p>
    <w:p w14:paraId="2E178D10" w14:textId="3D9A2CDB" w:rsidR="002268F1" w:rsidRPr="001D7286" w:rsidRDefault="002268F1" w:rsidP="002268F1">
      <w:pPr>
        <w:pStyle w:val="COMParaDecision"/>
        <w:numPr>
          <w:ilvl w:val="0"/>
          <w:numId w:val="10"/>
        </w:numPr>
        <w:ind w:left="1134" w:hanging="567"/>
      </w:pPr>
      <w:r w:rsidRPr="001D7286">
        <w:t>рассмотрев</w:t>
      </w:r>
      <w:r w:rsidRPr="001D7286">
        <w:rPr>
          <w:u w:val="none"/>
        </w:rPr>
        <w:t xml:space="preserve"> документ LHE/22/9.GA/5,</w:t>
      </w:r>
    </w:p>
    <w:p w14:paraId="588B68EA" w14:textId="77777777" w:rsidR="002268F1" w:rsidRPr="001D7286" w:rsidRDefault="002268F1" w:rsidP="002268F1">
      <w:pPr>
        <w:pStyle w:val="COMParaDecision"/>
        <w:numPr>
          <w:ilvl w:val="0"/>
          <w:numId w:val="10"/>
        </w:numPr>
        <w:ind w:left="1134" w:hanging="567"/>
      </w:pPr>
      <w:r w:rsidRPr="001D7286">
        <w:t>ссылаясь</w:t>
      </w:r>
      <w:r w:rsidRPr="001D7286">
        <w:rPr>
          <w:u w:val="none"/>
        </w:rPr>
        <w:t xml:space="preserve"> на статью 30 Конвенции,</w:t>
      </w:r>
    </w:p>
    <w:p w14:paraId="7744CB7F" w14:textId="58AAE4C9" w:rsidR="002268F1" w:rsidRPr="001D7286" w:rsidRDefault="002268F1" w:rsidP="002268F1">
      <w:pPr>
        <w:pStyle w:val="COMParaDecision"/>
        <w:numPr>
          <w:ilvl w:val="0"/>
          <w:numId w:val="10"/>
        </w:numPr>
        <w:ind w:left="1134" w:hanging="567"/>
        <w:rPr>
          <w:u w:val="none"/>
        </w:rPr>
      </w:pPr>
      <w:r w:rsidRPr="001D7286">
        <w:t>приветствует</w:t>
      </w:r>
      <w:r w:rsidRPr="001D7286">
        <w:rPr>
          <w:u w:val="none"/>
        </w:rPr>
        <w:t xml:space="preserve"> Анголу и Сомали, ратифицировавших Конвенцию в течение отчетного периода, благодаря чему общее количество государств-участников достигло 180, и </w:t>
      </w:r>
      <w:r w:rsidRPr="001D7286">
        <w:t>призывает</w:t>
      </w:r>
      <w:r w:rsidRPr="001D7286">
        <w:rPr>
          <w:u w:val="none"/>
        </w:rPr>
        <w:t xml:space="preserve"> государства, еще не ратифицировавшие Конвенцию, сделать это;</w:t>
      </w:r>
    </w:p>
    <w:p w14:paraId="253FB5F5" w14:textId="088580CD" w:rsidR="002268F1" w:rsidRPr="001D7286" w:rsidRDefault="002268F1" w:rsidP="002268F1">
      <w:pPr>
        <w:pStyle w:val="COMParaDecision"/>
        <w:numPr>
          <w:ilvl w:val="0"/>
          <w:numId w:val="10"/>
        </w:numPr>
        <w:ind w:left="1134" w:hanging="567"/>
      </w:pPr>
      <w:r w:rsidRPr="001D7286">
        <w:t>отмечает</w:t>
      </w:r>
      <w:r w:rsidRPr="001D7286">
        <w:rPr>
          <w:u w:val="none"/>
        </w:rPr>
        <w:t xml:space="preserve"> Доклад Комитета Генеральной Ассамблее о его деятельности с января 2020 г. по декабрь 2021 г., прилагаемый к настоящему документу, и </w:t>
      </w:r>
      <w:r w:rsidRPr="001D7286">
        <w:t>благодарит</w:t>
      </w:r>
      <w:r w:rsidRPr="001D7286">
        <w:rPr>
          <w:u w:val="none"/>
        </w:rPr>
        <w:t xml:space="preserve"> Комитет за эффективную работу;</w:t>
      </w:r>
    </w:p>
    <w:p w14:paraId="47DC9685" w14:textId="2F17E1B1" w:rsidR="008F4F95" w:rsidRPr="001D7286" w:rsidRDefault="00E52905" w:rsidP="008F4F95">
      <w:pPr>
        <w:pStyle w:val="COMParaDecision"/>
        <w:numPr>
          <w:ilvl w:val="0"/>
          <w:numId w:val="10"/>
        </w:numPr>
        <w:ind w:left="1134" w:hanging="567"/>
        <w:rPr>
          <w:u w:val="none"/>
        </w:rPr>
      </w:pPr>
      <w:r w:rsidRPr="001D7286">
        <w:t>выражает благодарность</w:t>
      </w:r>
      <w:r w:rsidRPr="001D7286">
        <w:rPr>
          <w:u w:val="none"/>
        </w:rPr>
        <w:t xml:space="preserve"> Комитету за обеспечение продолжения работы Комитета несмотря на сложные обстоятельства и трудности, вызванные глобальной пандемией </w:t>
      </w:r>
      <w:r w:rsidRPr="001D7286">
        <w:rPr>
          <w:rFonts w:asciiTheme="minorBidi" w:hAnsiTheme="minorBidi"/>
          <w:u w:val="none"/>
        </w:rPr>
        <w:t>COVID-19;</w:t>
      </w:r>
    </w:p>
    <w:p w14:paraId="102E6945" w14:textId="38DC1A32" w:rsidR="008F4F95" w:rsidRPr="001D7286" w:rsidRDefault="008F4F95" w:rsidP="008F4F95">
      <w:pPr>
        <w:pStyle w:val="COMParaDecision"/>
        <w:numPr>
          <w:ilvl w:val="0"/>
          <w:numId w:val="10"/>
        </w:numPr>
        <w:ind w:left="1134" w:hanging="567"/>
        <w:rPr>
          <w:u w:val="none"/>
        </w:rPr>
      </w:pPr>
      <w:r w:rsidRPr="001D7286">
        <w:t>Благодарит</w:t>
      </w:r>
      <w:r w:rsidRPr="001D7286">
        <w:rPr>
          <w:u w:val="none"/>
        </w:rPr>
        <w:t xml:space="preserve"> Комитет за успешное внедрение реформированного механизма периодической отчетности, основанного на переходе к региональному циклу отчетности и ориентированного на отчетность по результатам, согласованную с Общей системой оценки результатов, как важное достижение в рамках Конвенции 2003 года;</w:t>
      </w:r>
    </w:p>
    <w:p w14:paraId="5F893310" w14:textId="10E5DF76" w:rsidR="008F4F95" w:rsidRPr="001D7286" w:rsidRDefault="008F4F95" w:rsidP="008F4F95">
      <w:pPr>
        <w:pStyle w:val="COMParaDecision"/>
        <w:numPr>
          <w:ilvl w:val="0"/>
          <w:numId w:val="10"/>
        </w:numPr>
        <w:ind w:left="1134" w:hanging="567"/>
        <w:rPr>
          <w:u w:val="none"/>
        </w:rPr>
      </w:pPr>
      <w:r w:rsidRPr="001D7286">
        <w:t>Также благодарит</w:t>
      </w:r>
      <w:r w:rsidRPr="001D7286">
        <w:rPr>
          <w:u w:val="none"/>
        </w:rPr>
        <w:t xml:space="preserve"> Комитет за плодотворный прогресс, достигнутый им в отношении глобальной рефлексии над механизмами внесения элементов культурного наследия в списки ЮНЕСКО посредством инклюзивного процесса консультаций с экспертами и межправительственной рабочей группы открытого состава;</w:t>
      </w:r>
    </w:p>
    <w:p w14:paraId="220BAA69" w14:textId="026D74AD" w:rsidR="00A9639D" w:rsidRPr="000263BB" w:rsidRDefault="00207365" w:rsidP="00C90060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D7286">
        <w:rPr>
          <w:rFonts w:ascii="Arial" w:hAnsi="Arial"/>
          <w:sz w:val="22"/>
          <w:u w:val="single"/>
        </w:rPr>
        <w:t>С интересом отмечает</w:t>
      </w:r>
      <w:r w:rsidRPr="001D7286">
        <w:rPr>
          <w:rFonts w:ascii="Arial" w:hAnsi="Arial"/>
          <w:sz w:val="22"/>
        </w:rPr>
        <w:t xml:space="preserve"> результаты оценки деятельности ЮНЕСКО в рамках Конвенции 2003 года, проведенной в 2021 году Управлением слу</w:t>
      </w:r>
      <w:r w:rsidRPr="004F0698">
        <w:rPr>
          <w:rFonts w:ascii="Arial" w:hAnsi="Arial"/>
          <w:sz w:val="22"/>
        </w:rPr>
        <w:t>жб внутреннего надзора (УСВН),</w:t>
      </w:r>
      <w:r w:rsidRPr="000263BB">
        <w:rPr>
          <w:rFonts w:ascii="Arial" w:hAnsi="Arial"/>
          <w:sz w:val="22"/>
        </w:rPr>
        <w:t xml:space="preserve"> а также двенадцать рекомендаций и ответы руководства, представленные в них, и </w:t>
      </w:r>
      <w:r w:rsidRPr="000263BB">
        <w:rPr>
          <w:rFonts w:ascii="Arial" w:hAnsi="Arial"/>
          <w:sz w:val="22"/>
          <w:u w:val="single"/>
        </w:rPr>
        <w:t>подтверждает</w:t>
      </w:r>
      <w:r w:rsidRPr="000263BB">
        <w:rPr>
          <w:rFonts w:ascii="Arial" w:hAnsi="Arial"/>
          <w:sz w:val="22"/>
        </w:rPr>
        <w:t xml:space="preserve"> необходимость установления приоритетов в области использования ограниченных ресурсов Секретариата Конвенции 2003 года, как указано в Рекомендации 1;</w:t>
      </w:r>
    </w:p>
    <w:p w14:paraId="45AE67B8" w14:textId="1D6695F2" w:rsidR="00384D38" w:rsidRPr="000263BB" w:rsidRDefault="00384D38" w:rsidP="00C90060">
      <w:pPr>
        <w:pStyle w:val="COMParaDecision"/>
        <w:keepLines/>
        <w:numPr>
          <w:ilvl w:val="0"/>
          <w:numId w:val="10"/>
        </w:numPr>
        <w:ind w:left="1134" w:hanging="567"/>
        <w:rPr>
          <w:u w:val="none"/>
        </w:rPr>
      </w:pPr>
      <w:r w:rsidRPr="000263BB">
        <w:t>Признает</w:t>
      </w:r>
      <w:r w:rsidRPr="000263BB">
        <w:rPr>
          <w:u w:val="none"/>
        </w:rPr>
        <w:t>, что Комитет по-прежнему придает большое значение двум глобальным приоритетам финансирования Конвенции: «Укрепление потенциала для охраны нематериального культурного наследия с использованием мультимодальных подходов и содействия устойчивому развитию» и «Охрана нематериального культурного наследия в формальном и неформальном образовании»;</w:t>
      </w:r>
    </w:p>
    <w:p w14:paraId="045568BD" w14:textId="324D14FA" w:rsidR="008A1ED4" w:rsidRPr="000263BB" w:rsidRDefault="002268F1" w:rsidP="008C0DE9">
      <w:pPr>
        <w:pStyle w:val="5GAParaResolution"/>
        <w:numPr>
          <w:ilvl w:val="0"/>
          <w:numId w:val="10"/>
        </w:numPr>
        <w:ind w:left="1134" w:hanging="567"/>
      </w:pPr>
      <w:r w:rsidRPr="000263BB">
        <w:rPr>
          <w:u w:val="single"/>
        </w:rPr>
        <w:t>Просит</w:t>
      </w:r>
      <w:r w:rsidRPr="000263BB">
        <w:t xml:space="preserve"> Генерального директора довести данный доклад до сведения Генеральной конференции ЮНЕСКО в соответствии со статьей 30.2 Конвенции.</w:t>
      </w:r>
    </w:p>
    <w:p w14:paraId="6677B1CE" w14:textId="77777777" w:rsidR="00FB2F3D" w:rsidRPr="000263BB" w:rsidRDefault="00FB2F3D" w:rsidP="00FB2F3D">
      <w:pPr>
        <w:pageBreakBefore/>
        <w:spacing w:after="240"/>
        <w:jc w:val="center"/>
        <w:rPr>
          <w:rFonts w:ascii="Arial" w:hAnsi="Arial" w:cs="Arial"/>
          <w:sz w:val="22"/>
          <w:szCs w:val="22"/>
        </w:rPr>
      </w:pPr>
      <w:r w:rsidRPr="000263BB">
        <w:rPr>
          <w:rFonts w:ascii="Arial" w:hAnsi="Arial"/>
          <w:b/>
          <w:sz w:val="22"/>
          <w:u w:val="single"/>
        </w:rPr>
        <w:t>ПРИЛОЖЕНИЕ</w:t>
      </w:r>
    </w:p>
    <w:p w14:paraId="18ED08C0" w14:textId="77777777" w:rsidR="00FB2F3D" w:rsidRPr="000263BB" w:rsidRDefault="00FB2F3D" w:rsidP="00FB2F3D">
      <w:pPr>
        <w:spacing w:after="360"/>
        <w:jc w:val="center"/>
        <w:rPr>
          <w:rFonts w:ascii="Arial" w:hAnsi="Arial" w:cs="Arial"/>
          <w:sz w:val="22"/>
          <w:szCs w:val="22"/>
        </w:rPr>
      </w:pPr>
      <w:r w:rsidRPr="000263BB">
        <w:rPr>
          <w:rFonts w:ascii="Arial" w:hAnsi="Arial"/>
          <w:b/>
          <w:sz w:val="22"/>
        </w:rPr>
        <w:t>Доклад Комитета Генеральной Ассамблее об осуществленной деятельности</w:t>
      </w:r>
    </w:p>
    <w:p w14:paraId="58756A37" w14:textId="77777777" w:rsidR="00FB2F3D" w:rsidRPr="000263BB" w:rsidRDefault="00FB2F3D" w:rsidP="00FB2F3D">
      <w:pPr>
        <w:keepNext/>
        <w:numPr>
          <w:ilvl w:val="0"/>
          <w:numId w:val="24"/>
        </w:numPr>
        <w:tabs>
          <w:tab w:val="num" w:pos="567"/>
        </w:tabs>
        <w:snapToGrid w:val="0"/>
        <w:spacing w:before="240" w:after="120"/>
        <w:ind w:left="562" w:hanging="562"/>
        <w:jc w:val="both"/>
        <w:rPr>
          <w:rFonts w:asciiTheme="minorBidi" w:hAnsiTheme="minorBidi" w:cstheme="minorBidi"/>
          <w:szCs w:val="22"/>
        </w:rPr>
      </w:pPr>
      <w:r w:rsidRPr="000263BB">
        <w:rPr>
          <w:rFonts w:ascii="Arial" w:hAnsi="Arial"/>
          <w:b/>
          <w:sz w:val="22"/>
        </w:rPr>
        <w:t>Введение</w:t>
      </w:r>
    </w:p>
    <w:p w14:paraId="2B78B03A" w14:textId="77777777" w:rsidR="00FB2F3D" w:rsidRPr="000263BB" w:rsidRDefault="00FB2F3D" w:rsidP="00FB2F3D">
      <w:pPr>
        <w:pStyle w:val="Marge"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 w:rsidRPr="000263BB">
        <w:rPr>
          <w:rFonts w:asciiTheme="minorBidi" w:hAnsiTheme="minorBidi"/>
        </w:rPr>
        <w:t>Функции Комитета изложены в Конвенции об охране нематериального культурного наследия 2003 г., в частности, в статье 7. В настоящем докладе сохраняется порядок функций, изложенных в указанной статье.</w:t>
      </w:r>
    </w:p>
    <w:p w14:paraId="500D584B" w14:textId="77777777" w:rsidR="00FB2F3D" w:rsidRPr="000263BB" w:rsidRDefault="00FB2F3D" w:rsidP="00FB2F3D">
      <w:pPr>
        <w:pStyle w:val="Marge"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 w:rsidRPr="000263BB">
        <w:rPr>
          <w:rFonts w:asciiTheme="minorBidi" w:hAnsiTheme="minorBidi"/>
        </w:rPr>
        <w:t>В 2020 году Генеральная Ассамблея обновила половину состава членов Комитета, избрав двенадцать государств-участников на четырехлетний срок наряду с действующими членами: Азербайджан, Ботсвана*, Бразилия*, Камерун, Китай, Кот-д'Ивуар*, Чехия*, Джибути, Ямайка, Япония, Казахстан, Кувейт, Марокко*, Нидерланды, Панама*, Перу*, Польша, Республика Корея*, Руанда*, Саудовская Аравия*, Шри-Ланка, Швеция*, Швейцария* и Того (члены Комитета, отмеченные звездочкой, обладают мандатом в период с 2020 по 2024 гг.; члены Комитета, не отмеченные звездочкой, обладают мандатом в период с 2018 по 2022 гг.).</w:t>
      </w:r>
    </w:p>
    <w:p w14:paraId="2B010A11" w14:textId="77777777" w:rsidR="00FB2F3D" w:rsidRPr="000263BB" w:rsidRDefault="00FB2F3D" w:rsidP="00FB2F3D">
      <w:pPr>
        <w:pStyle w:val="Marge"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 w:rsidRPr="000263BB">
        <w:rPr>
          <w:rFonts w:asciiTheme="minorBidi" w:hAnsiTheme="minorBidi"/>
        </w:rPr>
        <w:t>Заседания Комитета созывались дважды: с 14 по 19 декабря 2020 г. (онлайн) — пятнадцатое заседание (15.COM); с 13 по 18 декабря 2021 г. (онлайн) — шестнадцатое заседание (16.COM). В состав Президиума 15.COM входили: Ее Превосходительство г-жа Оливия Грейндж (Ямайка) в качестве Председателя; Нидерланды, Азербайджан, Китай, Джибути и Кувейт в качестве заместителей Председателя; г-н Аскар Абдрахманов (Казахстан) в качестве Докладчика (в октябре 2021 г. его сменил представитель Нидерландов). В состав Президиума 16.COM входили: г-н Пунчиниламе Мигасватте (Шри-Ланка) в качестве Председателя; Швеция, Чехия, Бразилия, Шри-Ланка, Джибути и Саудовская Аравия в качестве заместителей Председателя; г-жа Дзюн Такаи (Япония) — в качестве Докладчика.</w:t>
      </w:r>
    </w:p>
    <w:p w14:paraId="61EBF954" w14:textId="76410E2F" w:rsidR="00FB2F3D" w:rsidRPr="000263BB" w:rsidRDefault="00FB2F3D" w:rsidP="00FB2F3D">
      <w:pPr>
        <w:pStyle w:val="Marge"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 w:rsidRPr="000263BB">
        <w:rPr>
          <w:rFonts w:asciiTheme="minorBidi" w:hAnsiTheme="minorBidi"/>
        </w:rPr>
        <w:t>Заседания Президиума проходили в дни заседаний Комитета со вторника по субботу. За отчетный период также было проведено одно заседание в штаб-квартире ЮНЕСКО 11 сентября 2020 г. (15.COM</w:t>
      </w:r>
      <w:r w:rsidR="00C90060" w:rsidRPr="004F0698">
        <w:rPr>
          <w:rFonts w:asciiTheme="minorBidi" w:hAnsiTheme="minorBidi"/>
        </w:rPr>
        <w:t> </w:t>
      </w:r>
      <w:r w:rsidRPr="000263BB">
        <w:rPr>
          <w:rFonts w:asciiTheme="minorBidi" w:hAnsiTheme="minorBidi"/>
        </w:rPr>
        <w:t>2.BUR) и шесть заседаний в режиме онлайн 30 октября 2020 г. (15.COM</w:t>
      </w:r>
      <w:r w:rsidR="00C90060" w:rsidRPr="004F0698">
        <w:rPr>
          <w:rFonts w:asciiTheme="minorBidi" w:hAnsiTheme="minorBidi"/>
        </w:rPr>
        <w:t> </w:t>
      </w:r>
      <w:r w:rsidRPr="000263BB">
        <w:rPr>
          <w:rFonts w:asciiTheme="minorBidi" w:hAnsiTheme="minorBidi"/>
        </w:rPr>
        <w:t>3.BUR), 8 марта 2021 г. (16.COM</w:t>
      </w:r>
      <w:r w:rsidR="00C90060" w:rsidRPr="004F0698">
        <w:rPr>
          <w:rFonts w:asciiTheme="minorBidi" w:hAnsiTheme="minorBidi"/>
        </w:rPr>
        <w:t> </w:t>
      </w:r>
      <w:r w:rsidRPr="000263BB">
        <w:rPr>
          <w:rFonts w:asciiTheme="minorBidi" w:hAnsiTheme="minorBidi"/>
        </w:rPr>
        <w:t>1.BUR), 21 мая 2021 г. (16.COM</w:t>
      </w:r>
      <w:r w:rsidR="00C90060" w:rsidRPr="004F0698">
        <w:rPr>
          <w:rFonts w:asciiTheme="minorBidi" w:hAnsiTheme="minorBidi"/>
        </w:rPr>
        <w:t> </w:t>
      </w:r>
      <w:r w:rsidRPr="000263BB">
        <w:rPr>
          <w:rFonts w:asciiTheme="minorBidi" w:hAnsiTheme="minorBidi"/>
        </w:rPr>
        <w:t>2.BUR), 4 октября 2021 г. (16.COM</w:t>
      </w:r>
      <w:r w:rsidR="00C90060" w:rsidRPr="004F0698">
        <w:rPr>
          <w:rFonts w:asciiTheme="minorBidi" w:hAnsiTheme="minorBidi"/>
        </w:rPr>
        <w:t> </w:t>
      </w:r>
      <w:r w:rsidRPr="000263BB">
        <w:rPr>
          <w:rFonts w:asciiTheme="minorBidi" w:hAnsiTheme="minorBidi"/>
        </w:rPr>
        <w:t>3.BUR), 14 октября 2021 г. (16.COM</w:t>
      </w:r>
      <w:r w:rsidR="00C90060" w:rsidRPr="004F0698">
        <w:rPr>
          <w:rFonts w:asciiTheme="minorBidi" w:hAnsiTheme="minorBidi"/>
        </w:rPr>
        <w:t> </w:t>
      </w:r>
      <w:r w:rsidRPr="000263BB">
        <w:rPr>
          <w:rFonts w:asciiTheme="minorBidi" w:hAnsiTheme="minorBidi"/>
        </w:rPr>
        <w:t>4.BUR) и 3 декабря 2021 г. (Неофициальный обмен 16.COM</w:t>
      </w:r>
      <w:r w:rsidR="00C90060" w:rsidRPr="004F0698">
        <w:rPr>
          <w:rFonts w:asciiTheme="minorBidi" w:hAnsiTheme="minorBidi"/>
        </w:rPr>
        <w:t> </w:t>
      </w:r>
      <w:r w:rsidRPr="000263BB">
        <w:rPr>
          <w:rFonts w:asciiTheme="minorBidi" w:hAnsiTheme="minorBidi"/>
        </w:rPr>
        <w:t>BUR). Кроме того, были проведены две электронные консультации: в июле 2020 г. (15.COM</w:t>
      </w:r>
      <w:r w:rsidR="00C90060" w:rsidRPr="004F0698">
        <w:rPr>
          <w:rFonts w:asciiTheme="minorBidi" w:hAnsiTheme="minorBidi"/>
        </w:rPr>
        <w:t> </w:t>
      </w:r>
      <w:r w:rsidRPr="000263BB">
        <w:rPr>
          <w:rFonts w:asciiTheme="minorBidi" w:hAnsiTheme="minorBidi"/>
        </w:rPr>
        <w:t>1.BUR) и в ноябре 2020 г. (15.COM</w:t>
      </w:r>
      <w:r w:rsidR="00C90060" w:rsidRPr="004F0698">
        <w:rPr>
          <w:rFonts w:asciiTheme="minorBidi" w:hAnsiTheme="minorBidi"/>
        </w:rPr>
        <w:t> </w:t>
      </w:r>
      <w:r w:rsidRPr="000263BB">
        <w:rPr>
          <w:rFonts w:asciiTheme="minorBidi" w:hAnsiTheme="minorBidi"/>
        </w:rPr>
        <w:t>4.BUR).</w:t>
      </w:r>
    </w:p>
    <w:p w14:paraId="34C8EC79" w14:textId="77777777" w:rsidR="00FB2F3D" w:rsidRPr="000263BB" w:rsidRDefault="00FB2F3D" w:rsidP="00FB2F3D">
      <w:pPr>
        <w:pStyle w:val="Marge"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 w:rsidRPr="000263BB">
        <w:rPr>
          <w:rFonts w:asciiTheme="minorBidi" w:hAnsiTheme="minorBidi"/>
        </w:rPr>
        <w:t>За отчетный период Комитет и его Президиум рассмотрели в общей сложности семьдесят семь вопросов, включенных в повестки дня, наряду с которыми были представлены восемьдесят шесть рабочих или информационных документов, девять номинаций для внесения в Список срочной охраны, семьдесят шесть номинаций для внесения в Репрезентативный список, восемь предложений о надлежащих практиках охраны, двадцать два запроса об оказании международной помощи, пятьдесят шесть докладов, представленных государствами-участниками, и 105 запросов неправительственных организаций об аккредитации или ее продлении.</w:t>
      </w:r>
    </w:p>
    <w:p w14:paraId="1B24B972" w14:textId="1467DF8C" w:rsidR="00FB2F3D" w:rsidRPr="000263BB" w:rsidRDefault="00FB2F3D" w:rsidP="00FB2F3D">
      <w:pPr>
        <w:pStyle w:val="Marge"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 w:rsidRPr="000263BB">
        <w:rPr>
          <w:rFonts w:asciiTheme="minorBidi" w:hAnsiTheme="minorBidi"/>
          <w:b/>
          <w:bCs/>
        </w:rPr>
        <w:t>Корректировки, внесенные в связи с пандемией COVID-19</w:t>
      </w:r>
      <w:r w:rsidRPr="000263BB">
        <w:rPr>
          <w:rFonts w:asciiTheme="minorBidi" w:hAnsiTheme="minorBidi"/>
        </w:rPr>
        <w:t xml:space="preserve">. Вспышка пандемии COVID-19 оказала крайне негативное влияние на деятельность Комитета в отчетный период. </w:t>
      </w:r>
      <w:r w:rsidRPr="000263BB">
        <w:t xml:space="preserve">Сложные обстоятельства указанного глобального кризиса в области здравоохранения потребовали серьезных корректировок в работе Комитета и его консультативных органов, таких как Оценочный орган, включая изменение графика заседаний, отсрочку или перенос установленных законом сроков, расширение технической поддержки или перевод материалов заседаний в онлайн-формат (см. документ </w:t>
      </w:r>
      <w:hyperlink r:id="rId11" w:history="1">
        <w:r w:rsidRPr="000263BB">
          <w:rPr>
            <w:rStyle w:val="Hyperlink"/>
            <w:rFonts w:asciiTheme="minorBidi" w:hAnsiTheme="minorBidi"/>
            <w:szCs w:val="22"/>
          </w:rPr>
          <w:t>LHE/20/8.GA/6 Add</w:t>
        </w:r>
        <w:r w:rsidRPr="000263BB">
          <w:rPr>
            <w:rStyle w:val="Hyperlink"/>
            <w:rFonts w:asciiTheme="minorBidi" w:hAnsiTheme="minorBidi"/>
          </w:rPr>
          <w:t>.</w:t>
        </w:r>
      </w:hyperlink>
      <w:r w:rsidRPr="000263BB">
        <w:rPr>
          <w:rFonts w:asciiTheme="minorBidi" w:hAnsiTheme="minorBidi"/>
        </w:rPr>
        <w:t xml:space="preserve"> и доклад Секретариата </w:t>
      </w:r>
      <w:hyperlink r:id="rId12" w:history="1">
        <w:r w:rsidRPr="000263BB">
          <w:rPr>
            <w:rStyle w:val="Hyperlink"/>
            <w:rFonts w:asciiTheme="minorBidi" w:hAnsiTheme="minorBidi"/>
            <w:szCs w:val="22"/>
          </w:rPr>
          <w:t>LHE/21/16.COM/5.b</w:t>
        </w:r>
      </w:hyperlink>
      <w:r w:rsidRPr="000263BB">
        <w:rPr>
          <w:rFonts w:asciiTheme="minorBidi" w:hAnsiTheme="minorBidi"/>
        </w:rPr>
        <w:t>).</w:t>
      </w:r>
    </w:p>
    <w:p w14:paraId="6AEB1BEF" w14:textId="77777777" w:rsidR="00FB2F3D" w:rsidRPr="000263BB" w:rsidRDefault="00FB2F3D" w:rsidP="004F0698">
      <w:pPr>
        <w:pStyle w:val="ListParagraph"/>
        <w:keepLines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Theme="minorBidi" w:hAnsiTheme="minorBidi" w:cstheme="minorBidi"/>
          <w:sz w:val="22"/>
          <w:szCs w:val="22"/>
        </w:rPr>
      </w:pPr>
      <w:r w:rsidRPr="000263BB">
        <w:rPr>
          <w:rFonts w:asciiTheme="minorBidi" w:hAnsiTheme="minorBidi"/>
          <w:snapToGrid w:val="0"/>
          <w:sz w:val="22"/>
        </w:rPr>
        <w:t>В частности, в связи с глобальной пандемией возникла необходимость переноса мест проведения заседаний 15.COM и 16.COM. В обоих случаях Президиум инициировал обмен мнениями с членами Комитета в электронном формате, прежде чем принять решение об изменении формы проведения на режим онлайн, при этом Председатель15.COM участвовал в заседании, находясь в Кингстоне (Ямайка) в 2020 г., а Председатель16.COM связывался с участниками из штаб-квартиры ЮНЕСКО в Париже.</w:t>
      </w:r>
    </w:p>
    <w:p w14:paraId="589B91A4" w14:textId="77777777" w:rsidR="00FB2F3D" w:rsidRPr="000263BB" w:rsidRDefault="00FB2F3D" w:rsidP="00FB2F3D">
      <w:pPr>
        <w:keepNext/>
        <w:numPr>
          <w:ilvl w:val="0"/>
          <w:numId w:val="24"/>
        </w:numPr>
        <w:tabs>
          <w:tab w:val="num" w:pos="567"/>
        </w:tabs>
        <w:snapToGrid w:val="0"/>
        <w:spacing w:before="360"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0263BB">
        <w:rPr>
          <w:rFonts w:ascii="Arial" w:hAnsi="Arial"/>
          <w:b/>
          <w:bCs/>
          <w:sz w:val="22"/>
        </w:rPr>
        <w:t>Осуществление целей Конвенции, поддержка и контроль за ее выполнением, а также предоставление рекомендаций в отношении мер охраны и надлежащих практик</w:t>
      </w:r>
      <w:r w:rsidRPr="000263BB">
        <w:rPr>
          <w:rFonts w:ascii="Arial" w:hAnsi="Arial"/>
          <w:sz w:val="22"/>
        </w:rPr>
        <w:t xml:space="preserve"> (Статьи 7[a] и 7[b])</w:t>
      </w:r>
    </w:p>
    <w:p w14:paraId="632F171E" w14:textId="77777777" w:rsidR="00FB2F3D" w:rsidRPr="000263BB" w:rsidRDefault="00FB2F3D" w:rsidP="00FB2F3D">
      <w:pPr>
        <w:pStyle w:val="ListParagraph"/>
        <w:keepNext/>
        <w:numPr>
          <w:ilvl w:val="0"/>
          <w:numId w:val="26"/>
        </w:numPr>
        <w:tabs>
          <w:tab w:val="num" w:pos="567"/>
        </w:tabs>
        <w:snapToGrid w:val="0"/>
        <w:spacing w:before="24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0263BB">
        <w:rPr>
          <w:rFonts w:ascii="Arial" w:hAnsi="Arial"/>
          <w:b/>
          <w:sz w:val="22"/>
        </w:rPr>
        <w:t>Ратификация</w:t>
      </w:r>
    </w:p>
    <w:p w14:paraId="2096D23C" w14:textId="77777777" w:rsidR="00FB2F3D" w:rsidRPr="000263BB" w:rsidRDefault="00FB2F3D" w:rsidP="00FB2F3D">
      <w:pPr>
        <w:pStyle w:val="Marge"/>
        <w:keepNext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  <w:rPr>
          <w:szCs w:val="22"/>
        </w:rPr>
      </w:pPr>
      <w:r w:rsidRPr="000263BB">
        <w:t>Два государства (Ангола и Сомали) ратифицировали Конвенцию в период с января 2020 года по декабрь 2021 года. По состоянию на конец 2021 года участниками Конвенции являлись 180 государств.</w:t>
      </w:r>
    </w:p>
    <w:p w14:paraId="550C16B2" w14:textId="77777777" w:rsidR="00FB2F3D" w:rsidRPr="000263BB" w:rsidRDefault="00FB2F3D" w:rsidP="00FB2F3D">
      <w:pPr>
        <w:pStyle w:val="ListParagraph"/>
        <w:keepNext/>
        <w:numPr>
          <w:ilvl w:val="0"/>
          <w:numId w:val="26"/>
        </w:numPr>
        <w:spacing w:before="240" w:after="120"/>
        <w:ind w:left="562" w:hanging="562"/>
        <w:rPr>
          <w:rFonts w:ascii="Arial" w:hAnsi="Arial" w:cs="Arial"/>
          <w:b/>
          <w:sz w:val="22"/>
          <w:szCs w:val="22"/>
        </w:rPr>
      </w:pPr>
      <w:r w:rsidRPr="000263BB">
        <w:rPr>
          <w:rFonts w:ascii="Arial" w:hAnsi="Arial"/>
          <w:b/>
          <w:sz w:val="22"/>
        </w:rPr>
        <w:t>Обеспечение качественного управления</w:t>
      </w:r>
    </w:p>
    <w:p w14:paraId="4BCF8EC5" w14:textId="13503CD0" w:rsidR="00FB2F3D" w:rsidRPr="000263BB" w:rsidRDefault="00FB2F3D" w:rsidP="00FB2F3D">
      <w:pPr>
        <w:pStyle w:val="Marge"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 w:rsidRPr="000263BB">
        <w:t xml:space="preserve">Восьмая сессия Генеральной Ассамблеи (проходившая 8–10 сентября 2021 г. в штаб-квартире ЮНЕСКО и именуемая в дальнейшем «8.GA») утвердила план использования средств Фонда нематериального культурного наследия (именуемого в дальнейшем «Фонд») на период с 1 января 2020 г. по 31 декабря 2021 г., из которых 20 процентов бюджета (1 568 076 долларов США) было выделено на «прочую деятельность Комитета», а всего для обеспечения качественного управления было выделено 423 380 долларов США (27 процентов по статье «прочая деятельность Комитета») </w:t>
      </w:r>
      <w:r w:rsidRPr="000263BB">
        <w:rPr>
          <w:rFonts w:asciiTheme="minorBidi" w:hAnsiTheme="minorBidi"/>
        </w:rPr>
        <w:t>(</w:t>
      </w:r>
      <w:r w:rsidR="001D7286" w:rsidRPr="000263BB">
        <w:rPr>
          <w:rFonts w:asciiTheme="minorBidi" w:hAnsiTheme="minorBidi"/>
        </w:rPr>
        <w:t>Резолюция</w:t>
      </w:r>
      <w:r w:rsidR="001D7286">
        <w:rPr>
          <w:rFonts w:asciiTheme="minorBidi" w:hAnsiTheme="minorBidi"/>
          <w:lang w:val="fr-FR"/>
        </w:rPr>
        <w:t> </w:t>
      </w:r>
      <w:hyperlink r:id="rId13" w:history="1">
        <w:r w:rsidRPr="000263BB">
          <w:rPr>
            <w:rStyle w:val="Hyperlink"/>
            <w:rFonts w:asciiTheme="minorBidi" w:hAnsiTheme="minorBidi"/>
            <w:szCs w:val="22"/>
          </w:rPr>
          <w:t>8.</w:t>
        </w:r>
        <w:r w:rsidR="00372BD3" w:rsidRPr="000263BB">
          <w:rPr>
            <w:rStyle w:val="Hyperlink"/>
            <w:rFonts w:asciiTheme="minorBidi" w:hAnsiTheme="minorBidi"/>
            <w:szCs w:val="22"/>
          </w:rPr>
          <w:t>GA</w:t>
        </w:r>
        <w:r w:rsidR="00372BD3" w:rsidRPr="004F0698">
          <w:rPr>
            <w:rStyle w:val="Hyperlink"/>
            <w:rFonts w:asciiTheme="minorBidi" w:hAnsiTheme="minorBidi"/>
            <w:szCs w:val="22"/>
          </w:rPr>
          <w:t> </w:t>
        </w:r>
        <w:r w:rsidRPr="000263BB">
          <w:rPr>
            <w:rStyle w:val="Hyperlink"/>
            <w:rFonts w:asciiTheme="minorBidi" w:hAnsiTheme="minorBidi"/>
            <w:szCs w:val="22"/>
          </w:rPr>
          <w:t>7</w:t>
        </w:r>
      </w:hyperlink>
      <w:r w:rsidRPr="004F0698">
        <w:rPr>
          <w:rStyle w:val="Hyperlink"/>
          <w:rFonts w:asciiTheme="minorBidi" w:hAnsiTheme="minorBidi"/>
          <w:color w:val="auto"/>
          <w:u w:val="none"/>
        </w:rPr>
        <w:t>)</w:t>
      </w:r>
      <w:r w:rsidR="00965892" w:rsidRPr="00965892">
        <w:rPr>
          <w:rStyle w:val="Hyperlink"/>
          <w:rFonts w:asciiTheme="minorBidi" w:hAnsiTheme="minorBidi"/>
          <w:color w:val="auto"/>
          <w:u w:val="none"/>
        </w:rPr>
        <w:t>.</w:t>
      </w:r>
    </w:p>
    <w:p w14:paraId="74A4E8D1" w14:textId="7CDB70BC" w:rsidR="00FB2F3D" w:rsidRPr="000263BB" w:rsidRDefault="00FB2F3D" w:rsidP="00FB2834">
      <w:pPr>
        <w:pStyle w:val="Marge"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  <w:rPr>
          <w:szCs w:val="22"/>
        </w:rPr>
      </w:pPr>
      <w:r w:rsidRPr="000263BB">
        <w:t xml:space="preserve">Глобальный анализ механизмов включения в </w:t>
      </w:r>
      <w:r w:rsidR="00FB2834" w:rsidRPr="000263BB">
        <w:t xml:space="preserve">списки </w:t>
      </w:r>
      <w:r w:rsidRPr="000263BB">
        <w:t xml:space="preserve">Конвенции 2003 г., инициированный на двенадцатом </w:t>
      </w:r>
      <w:r w:rsidRPr="000263BB">
        <w:rPr>
          <w:rFonts w:asciiTheme="minorBidi" w:hAnsiTheme="minorBidi"/>
          <w:shd w:val="clear" w:color="auto" w:fill="FFFFFF"/>
        </w:rPr>
        <w:t>заседании</w:t>
      </w:r>
      <w:r w:rsidRPr="000263BB">
        <w:t xml:space="preserve"> Комитета (Решение </w:t>
      </w:r>
      <w:hyperlink r:id="rId14" w:history="1">
        <w:r w:rsidRPr="000263BB">
          <w:rPr>
            <w:rStyle w:val="Hyperlink"/>
            <w:szCs w:val="22"/>
          </w:rPr>
          <w:t>12.</w:t>
        </w:r>
        <w:r w:rsidR="00372BD3" w:rsidRPr="000263BB">
          <w:rPr>
            <w:rStyle w:val="Hyperlink"/>
            <w:szCs w:val="22"/>
          </w:rPr>
          <w:t>COM</w:t>
        </w:r>
        <w:r w:rsidR="00372BD3" w:rsidRPr="004F0698">
          <w:rPr>
            <w:rStyle w:val="Hyperlink"/>
            <w:szCs w:val="22"/>
          </w:rPr>
          <w:t> </w:t>
        </w:r>
        <w:r w:rsidRPr="000263BB">
          <w:rPr>
            <w:rStyle w:val="Hyperlink"/>
            <w:szCs w:val="22"/>
          </w:rPr>
          <w:t>14</w:t>
        </w:r>
      </w:hyperlink>
      <w:r w:rsidRPr="000263BB">
        <w:t xml:space="preserve">), был направлен на выработку конкретных рекомендаций и представление их Комитету в виде предлагаемых поправок к Оперативному </w:t>
      </w:r>
      <w:r w:rsidR="00FB2834" w:rsidRPr="000263BB">
        <w:t xml:space="preserve">руководству </w:t>
      </w:r>
      <w:r w:rsidRPr="000263BB">
        <w:t xml:space="preserve">(Документ </w:t>
      </w:r>
      <w:hyperlink r:id="rId15" w:history="1">
        <w:r w:rsidRPr="000263BB">
          <w:rPr>
            <w:rStyle w:val="Hyperlink"/>
            <w:rFonts w:asciiTheme="minorBidi" w:hAnsiTheme="minorBidi"/>
            <w:szCs w:val="22"/>
          </w:rPr>
          <w:t>LHE/21/16.COM/14</w:t>
        </w:r>
      </w:hyperlink>
      <w:r w:rsidRPr="000263BB">
        <w:rPr>
          <w:rFonts w:asciiTheme="minorBidi" w:hAnsiTheme="minorBidi"/>
        </w:rPr>
        <w:t>)</w:t>
      </w:r>
      <w:r w:rsidRPr="000263BB">
        <w:t xml:space="preserve">. Эти рекомендации были разработаны в процессе консультаций с участием многих заинтересованных сторон, начиная с проведения онлайн-опроса экспертов в период с марта по апрель 2021 года и онлайн-совещания экспертов категории VI в мае 2021 года для выявления основных проблем, связанных с </w:t>
      </w:r>
      <w:r w:rsidRPr="000263BB">
        <w:rPr>
          <w:color w:val="000000"/>
          <w:shd w:val="clear" w:color="auto" w:fill="FFFFFF"/>
        </w:rPr>
        <w:t>механизмами включения в Списки</w:t>
      </w:r>
      <w:r w:rsidRPr="000263BB">
        <w:t xml:space="preserve"> и возможными решениями. На основании предварительных рекомендаций экспертов в период с 8 по 9 июля (часть I) и с 9 по 10 сентября 2021 года (часть II) дважды созывались заседания Межправительственной рабочей группы открытого состава для обсуждения вопросов, связанных с критериями регистрации, отслеживанием включенных элементов и методологией оценки номинаций; рекомендации рабочей группы были рассмотрены Комитетом на его шестнадцатом заседании. В ходе данного заседания Комитета было также принято решение продлить мандат Межправительственной рабочей группы открытого состава, с тем чтобы она могла рассматривать дополнительные вопросы в режиме онлайн-совещания (часть III), запланированного на начало 2022 года.</w:t>
      </w:r>
      <w:r w:rsidRPr="000263BB">
        <w:rPr>
          <w:rFonts w:asciiTheme="minorBidi" w:hAnsiTheme="minorBidi"/>
        </w:rPr>
        <w:t xml:space="preserve"> Результаты этого заседания должны быть рассмотрены в ходе пятого внеочередного заседания Комитета в виде обновленного Оперативного </w:t>
      </w:r>
      <w:r w:rsidR="00FB2834" w:rsidRPr="000263BB">
        <w:rPr>
          <w:rFonts w:asciiTheme="minorBidi" w:hAnsiTheme="minorBidi"/>
        </w:rPr>
        <w:t>руководства</w:t>
      </w:r>
      <w:r w:rsidRPr="000263BB">
        <w:rPr>
          <w:rFonts w:asciiTheme="minorBidi" w:hAnsiTheme="minorBidi"/>
        </w:rPr>
        <w:t xml:space="preserve">. </w:t>
      </w:r>
      <w:r w:rsidRPr="000263BB">
        <w:t xml:space="preserve">Рекомендации по результатам всех трех </w:t>
      </w:r>
      <w:r w:rsidR="009A265C" w:rsidRPr="000263BB">
        <w:t xml:space="preserve">частей </w:t>
      </w:r>
      <w:r w:rsidRPr="000263BB">
        <w:t xml:space="preserve">рабочей группы должны быть представлены для окончательного утверждения на девятой сессии Генеральной Ассамблеи в середине 2022 года </w:t>
      </w:r>
      <w:r w:rsidRPr="000263BB">
        <w:rPr>
          <w:rFonts w:asciiTheme="minorBidi" w:hAnsiTheme="minorBidi"/>
        </w:rPr>
        <w:t xml:space="preserve">(Решение </w:t>
      </w:r>
      <w:hyperlink r:id="rId16" w:history="1">
        <w:r w:rsidRPr="000263BB">
          <w:rPr>
            <w:rStyle w:val="Hyperlink"/>
            <w:szCs w:val="22"/>
          </w:rPr>
          <w:t>16.</w:t>
        </w:r>
        <w:r w:rsidR="00372BD3" w:rsidRPr="000263BB">
          <w:rPr>
            <w:rStyle w:val="Hyperlink"/>
            <w:szCs w:val="22"/>
          </w:rPr>
          <w:t>COM</w:t>
        </w:r>
        <w:r w:rsidR="00372BD3" w:rsidRPr="004F0698">
          <w:rPr>
            <w:rStyle w:val="Hyperlink"/>
            <w:szCs w:val="22"/>
          </w:rPr>
          <w:t> </w:t>
        </w:r>
        <w:r w:rsidRPr="000263BB">
          <w:rPr>
            <w:rStyle w:val="Hyperlink"/>
            <w:szCs w:val="22"/>
          </w:rPr>
          <w:t>14</w:t>
        </w:r>
      </w:hyperlink>
      <w:r w:rsidRPr="000263BB">
        <w:t>)</w:t>
      </w:r>
      <w:r w:rsidRPr="000263BB">
        <w:rPr>
          <w:rFonts w:asciiTheme="minorBidi" w:hAnsiTheme="minorBidi"/>
        </w:rPr>
        <w:t>.</w:t>
      </w:r>
    </w:p>
    <w:p w14:paraId="75847E2D" w14:textId="7D2A6CC2" w:rsidR="00FB2F3D" w:rsidRPr="000263BB" w:rsidRDefault="00FB2F3D" w:rsidP="004F0698">
      <w:pPr>
        <w:pStyle w:val="Marge"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</w:pPr>
      <w:r w:rsidRPr="000263BB">
        <w:t>В рамках шестнадцат</w:t>
      </w:r>
      <w:r w:rsidR="009A265C" w:rsidRPr="000263BB">
        <w:t xml:space="preserve">ой сессии </w:t>
      </w:r>
      <w:r w:rsidRPr="000263BB">
        <w:t xml:space="preserve">Комитетом была рассмотрена оценка Конвенции 2003 г. и комплекс из двенадцати рекомендаций, разработанных </w:t>
      </w:r>
      <w:r w:rsidR="009A265C" w:rsidRPr="000263BB">
        <w:t xml:space="preserve">Управлением </w:t>
      </w:r>
      <w:r w:rsidR="009A265C" w:rsidRPr="004F0698">
        <w:t xml:space="preserve">службы </w:t>
      </w:r>
      <w:r w:rsidRPr="004F0698">
        <w:t>внутреннего надзора</w:t>
      </w:r>
      <w:r w:rsidRPr="000263BB">
        <w:t>.</w:t>
      </w:r>
      <w:r w:rsidRPr="000263BB">
        <w:rPr>
          <w:rFonts w:asciiTheme="minorBidi" w:hAnsiTheme="minorBidi"/>
        </w:rPr>
        <w:t xml:space="preserve"> </w:t>
      </w:r>
      <w:r w:rsidRPr="000263BB">
        <w:t xml:space="preserve">Кроме того, Комитетом было поручено Секретариату разработать дорожную карту, отражающую эти рекомендации, и сообщить о ходе их выполнения на семнадцатом заседании Комитета </w:t>
      </w:r>
      <w:r w:rsidRPr="000263BB">
        <w:rPr>
          <w:rFonts w:asciiTheme="minorBidi" w:hAnsiTheme="minorBidi"/>
        </w:rPr>
        <w:t>(</w:t>
      </w:r>
      <w:r w:rsidRPr="000263BB">
        <w:t xml:space="preserve">Решение </w:t>
      </w:r>
      <w:hyperlink r:id="rId17" w:history="1">
        <w:r w:rsidRPr="000263BB">
          <w:rPr>
            <w:rStyle w:val="Hyperlink"/>
            <w:szCs w:val="22"/>
          </w:rPr>
          <w:t>16.COM 10</w:t>
        </w:r>
      </w:hyperlink>
      <w:r w:rsidRPr="000263BB">
        <w:rPr>
          <w:rFonts w:asciiTheme="minorBidi" w:hAnsiTheme="minorBidi"/>
        </w:rPr>
        <w:t>)</w:t>
      </w:r>
      <w:r w:rsidRPr="000263BB">
        <w:t>.</w:t>
      </w:r>
    </w:p>
    <w:p w14:paraId="76E9860C" w14:textId="77777777" w:rsidR="00FB2F3D" w:rsidRPr="000263BB" w:rsidRDefault="00FB2F3D" w:rsidP="00FB2F3D">
      <w:pPr>
        <w:pStyle w:val="Marge"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</w:pPr>
      <w:r w:rsidRPr="000263BB">
        <w:t>Службы управления знаниями Конвенции обеспечили поддержку качественного управления Конвенцией и адекватно реагировали на потребность в принятии новых мер для облегчения работы руководящих органов Конвенции. В этом смысле речь идет, помимо прочего, о бесперебойной работе онлайн-интерфейса периодической отчетности, который использовался государствами-участниками в регионе Латинской Америки и Карибского бассейна в 2020 году и в Европе в 2021 году. Также в режиме онлайн были предоставлены различные инструменты обучения и управления знаниями в формате открытого доступа с целью расширения сфер распространения и использования таких инструментов.</w:t>
      </w:r>
    </w:p>
    <w:p w14:paraId="77C86461" w14:textId="77777777" w:rsidR="00FB2F3D" w:rsidRPr="000263BB" w:rsidRDefault="00FB2F3D" w:rsidP="00FB2F3D">
      <w:pPr>
        <w:pStyle w:val="ListParagraph"/>
        <w:keepNext/>
        <w:numPr>
          <w:ilvl w:val="0"/>
          <w:numId w:val="26"/>
        </w:numPr>
        <w:tabs>
          <w:tab w:val="num" w:pos="567"/>
        </w:tabs>
        <w:spacing w:before="240"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0263BB">
        <w:rPr>
          <w:rFonts w:ascii="Arial" w:hAnsi="Arial"/>
          <w:b/>
          <w:sz w:val="22"/>
        </w:rPr>
        <w:t>Совершенствование программы укрепления потенциала и руководящих принципов в отношении мер защиты и надлежащих практик</w:t>
      </w:r>
    </w:p>
    <w:p w14:paraId="5DBFDE57" w14:textId="5F9B3760" w:rsidR="00FB2F3D" w:rsidRPr="000263BB" w:rsidRDefault="00FB2F3D" w:rsidP="00FB2F3D">
      <w:pPr>
        <w:pStyle w:val="Marge"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 w:rsidRPr="000263BB">
        <w:rPr>
          <w:rFonts w:asciiTheme="minorBidi" w:hAnsiTheme="minorBidi"/>
        </w:rPr>
        <w:t>Укрепление потенциала по-прежнему занимает центральное место в рамках мандата Конвенции 2003 г. в качестве одного из двух глобальных приоритетов финансирования Конвенции: «Укрепление потенциала для охраны нематериального культурного наследия и содействия устойчивому развитию» (2018–2021 гг.). Соответственно, на период с января 2020 г. по декабрь 2021 г. была выделена общая сумма в 517 465 долл. США, т.е. 33 % от суммы по статье «прочая деятельность Комитета». Важным результатом стал высокий показатель представления периодических докладов государствами Латинской Америки и Карибского бассейна в качестве первого регионального цикла отчетности.</w:t>
      </w:r>
      <w:r w:rsidRPr="000263BB">
        <w:t xml:space="preserve"> Ключевые мероприятия по охране живого наследия в контексте снижения риска стихийных бедствий на Филиппинах и в Гондурасе также были апробированы в режиме онлайн. Таким образом, на шестнадцатом заседании Комитета был одобрен пересмотр стратегии развития глобальной программы укрепления потенциала в пользу мультимодального подхода (форматы, подразумевающие личное присутствие, проведение заседаний полностью в режиме онлайн, комбинированный и смешанный способы передачи данных) </w:t>
      </w:r>
      <w:r w:rsidRPr="000263BB">
        <w:rPr>
          <w:rFonts w:asciiTheme="minorBidi" w:hAnsiTheme="minorBidi"/>
        </w:rPr>
        <w:t>(Решение</w:t>
      </w:r>
      <w:r w:rsidR="008916C1">
        <w:rPr>
          <w:rFonts w:asciiTheme="minorBidi" w:hAnsiTheme="minorBidi"/>
          <w:lang w:val="fr-FR"/>
        </w:rPr>
        <w:t> </w:t>
      </w:r>
      <w:hyperlink r:id="rId18" w:history="1">
        <w:r w:rsidRPr="000263BB">
          <w:rPr>
            <w:rStyle w:val="Hyperlink"/>
            <w:rFonts w:asciiTheme="minorBidi" w:hAnsiTheme="minorBidi"/>
            <w:szCs w:val="22"/>
          </w:rPr>
          <w:t>16.</w:t>
        </w:r>
        <w:r w:rsidR="00044AB6" w:rsidRPr="000263BB">
          <w:rPr>
            <w:rStyle w:val="Hyperlink"/>
            <w:rFonts w:asciiTheme="minorBidi" w:hAnsiTheme="minorBidi"/>
            <w:szCs w:val="22"/>
          </w:rPr>
          <w:t>COM</w:t>
        </w:r>
        <w:r w:rsidR="00044AB6" w:rsidRPr="004F0698">
          <w:rPr>
            <w:rStyle w:val="Hyperlink"/>
            <w:rFonts w:asciiTheme="minorBidi" w:hAnsiTheme="minorBidi"/>
            <w:szCs w:val="22"/>
          </w:rPr>
          <w:t> </w:t>
        </w:r>
        <w:r w:rsidRPr="000263BB">
          <w:rPr>
            <w:rStyle w:val="Hyperlink"/>
            <w:rFonts w:asciiTheme="minorBidi" w:hAnsiTheme="minorBidi"/>
            <w:szCs w:val="22"/>
          </w:rPr>
          <w:t>5.b</w:t>
        </w:r>
      </w:hyperlink>
      <w:r w:rsidRPr="000263BB">
        <w:rPr>
          <w:rFonts w:asciiTheme="minorBidi" w:hAnsiTheme="minorBidi"/>
        </w:rPr>
        <w:t>)</w:t>
      </w:r>
      <w:r w:rsidRPr="000263BB">
        <w:t>.</w:t>
      </w:r>
    </w:p>
    <w:p w14:paraId="24C1883F" w14:textId="77777777" w:rsidR="00FB2F3D" w:rsidRPr="000263BB" w:rsidRDefault="00FB2F3D" w:rsidP="00FB2F3D">
      <w:pPr>
        <w:pStyle w:val="ListParagraph"/>
        <w:keepNext/>
        <w:numPr>
          <w:ilvl w:val="0"/>
          <w:numId w:val="26"/>
        </w:numPr>
        <w:spacing w:before="240" w:after="120"/>
        <w:ind w:left="562" w:hanging="562"/>
        <w:jc w:val="both"/>
        <w:rPr>
          <w:rFonts w:asciiTheme="minorBidi" w:hAnsiTheme="minorBidi" w:cstheme="minorBidi"/>
          <w:b/>
          <w:sz w:val="22"/>
          <w:szCs w:val="22"/>
        </w:rPr>
      </w:pPr>
      <w:r w:rsidRPr="000263BB">
        <w:rPr>
          <w:rFonts w:asciiTheme="minorBidi" w:hAnsiTheme="minorBidi"/>
          <w:b/>
          <w:sz w:val="22"/>
        </w:rPr>
        <w:t>Интеграция нематериального культурного наследия в планы, политики и программы развития</w:t>
      </w:r>
    </w:p>
    <w:p w14:paraId="2F94AE28" w14:textId="77777777" w:rsidR="00FB2F3D" w:rsidRPr="000263BB" w:rsidRDefault="00FB2F3D" w:rsidP="00FB2F3D">
      <w:pPr>
        <w:pStyle w:val="Marge"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 w:rsidRPr="000263BB">
        <w:rPr>
          <w:rFonts w:asciiTheme="minorBidi" w:hAnsiTheme="minorBidi"/>
        </w:rPr>
        <w:t>Интеграция нематериального культурного наследия в планы, политики и программы развития имеет ключевое значение для осуществления целей Конвенции в контексте повестки дня в области устойчивого развития на период до 2030 года. На период 2020–2021 гг. на эти цели выделена общая сумма в 203 850 долл. США, т.е. 13 % от суммы по статье «прочая деятельность Комитета». В соответствии с глобальным приоритетом финансирования «Охрана нематериального культурного наследия в формальном и в неформальном образовании» почти пятьдесят стран наглядно продемонстрировали интеграцию живого наследия в собственный образовательный контекст. Также были созданы глобальная учебная сеть при поддержке соответствующих экспертов, глобальный информационный центр для обмена знаниями о живом наследии и образовании, а также проведен Массовый открытый онлайн-курс по охране нематериального культурного наследия и устойчивому развитию. Это конкретные примеры того, как осуществляется передача живого наследия посредством формального и неформального образования в качестве важной меры защиты в соответствии со статьей 2 Конвенции, и того, как такая передача способствует прогрессу в достижении ЦУР 4 в плане качественного образования.</w:t>
      </w:r>
    </w:p>
    <w:p w14:paraId="75EA0321" w14:textId="77777777" w:rsidR="00FB2F3D" w:rsidRPr="000263BB" w:rsidRDefault="00FB2F3D" w:rsidP="00FB2F3D">
      <w:pPr>
        <w:pStyle w:val="ListParagraph"/>
        <w:keepNext/>
        <w:numPr>
          <w:ilvl w:val="0"/>
          <w:numId w:val="26"/>
        </w:numPr>
        <w:tabs>
          <w:tab w:val="num" w:pos="567"/>
        </w:tabs>
        <w:spacing w:before="240" w:after="120"/>
        <w:ind w:left="562" w:hanging="562"/>
        <w:rPr>
          <w:rFonts w:ascii="Arial" w:hAnsi="Arial" w:cs="Arial"/>
          <w:b/>
          <w:sz w:val="22"/>
          <w:szCs w:val="22"/>
        </w:rPr>
      </w:pPr>
      <w:r w:rsidRPr="000263BB">
        <w:rPr>
          <w:rFonts w:ascii="Arial" w:hAnsi="Arial"/>
          <w:b/>
          <w:sz w:val="22"/>
        </w:rPr>
        <w:t>Повышение уровня осведомленности и информирования</w:t>
      </w:r>
    </w:p>
    <w:p w14:paraId="2D86F795" w14:textId="77777777" w:rsidR="00FB2F3D" w:rsidRPr="000263BB" w:rsidRDefault="00FB2F3D" w:rsidP="00FB2F3D">
      <w:pPr>
        <w:pStyle w:val="Marge"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  <w:rPr>
          <w:szCs w:val="22"/>
        </w:rPr>
      </w:pPr>
      <w:r w:rsidRPr="000263BB">
        <w:t>Повышение уровня осведомленности о важном значении нематериального культурного наследия и об осуществлении целей Конвенции сами по себе рассматриваются в качестве деятельности по охране, как это определяет статья 2.3 Конвенции. Общая сумма в 423 381 доллар США, т.е. 27 % по статье «прочая деятельность Комитета», была выделена на поддержку инициативы Секретариата в этих областях деятельности на период 2020–2021 гг.</w:t>
      </w:r>
    </w:p>
    <w:p w14:paraId="2DD4ECDE" w14:textId="77777777" w:rsidR="00FB2F3D" w:rsidRPr="000263BB" w:rsidRDefault="00FB2F3D" w:rsidP="00FB2F3D">
      <w:pPr>
        <w:pStyle w:val="ListParagraph"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  <w:jc w:val="both"/>
        <w:rPr>
          <w:rFonts w:asciiTheme="minorBidi" w:hAnsiTheme="minorBidi" w:cstheme="minorBidi"/>
          <w:szCs w:val="22"/>
        </w:rPr>
      </w:pPr>
      <w:r w:rsidRPr="000263BB">
        <w:rPr>
          <w:rFonts w:asciiTheme="minorBidi" w:hAnsiTheme="minorBidi"/>
          <w:snapToGrid w:val="0"/>
          <w:sz w:val="22"/>
        </w:rPr>
        <w:t>В дополнение к интерактивному онлайн-инструменту «</w:t>
      </w:r>
      <w:hyperlink r:id="rId19" w:history="1">
        <w:r w:rsidRPr="000263BB">
          <w:rPr>
            <w:rStyle w:val="Hyperlink"/>
            <w:rFonts w:asciiTheme="minorBidi" w:hAnsiTheme="minorBidi"/>
            <w:sz w:val="22"/>
            <w:szCs w:val="22"/>
          </w:rPr>
          <w:t>Погружение в нематериальное культурное наследие</w:t>
        </w:r>
      </w:hyperlink>
      <w:r w:rsidRPr="000263BB">
        <w:rPr>
          <w:rFonts w:asciiTheme="minorBidi" w:hAnsiTheme="minorBidi"/>
          <w:snapToGrid w:val="0"/>
          <w:sz w:val="22"/>
        </w:rPr>
        <w:t xml:space="preserve">» разработанному в 2019 году, был представлен еще один инструмент — </w:t>
      </w:r>
      <w:r w:rsidRPr="000263BB">
        <w:rPr>
          <w:rFonts w:asciiTheme="minorBidi" w:hAnsiTheme="minorBidi"/>
          <w:sz w:val="22"/>
        </w:rPr>
        <w:t>«</w:t>
      </w:r>
      <w:hyperlink r:id="rId20" w:history="1">
        <w:r w:rsidRPr="000263BB">
          <w:rPr>
            <w:rStyle w:val="Hyperlink"/>
            <w:rFonts w:asciiTheme="minorBidi" w:hAnsiTheme="minorBidi"/>
            <w:sz w:val="22"/>
            <w:szCs w:val="22"/>
          </w:rPr>
          <w:t>Погружение в живое наследие и устойчивое развитие</w:t>
        </w:r>
      </w:hyperlink>
      <w:r w:rsidRPr="000263BB">
        <w:rPr>
          <w:rFonts w:asciiTheme="minorBidi" w:hAnsiTheme="minorBidi"/>
          <w:sz w:val="22"/>
        </w:rPr>
        <w:t xml:space="preserve">» </w:t>
      </w:r>
      <w:r w:rsidRPr="000263BB">
        <w:rPr>
          <w:rFonts w:asciiTheme="minorBidi" w:hAnsiTheme="minorBidi"/>
          <w:snapToGrid w:val="0"/>
          <w:sz w:val="22"/>
        </w:rPr>
        <w:t xml:space="preserve">во время проведения </w:t>
      </w:r>
      <w:r w:rsidRPr="000263BB">
        <w:rPr>
          <w:rFonts w:ascii="Arial" w:hAnsi="Arial"/>
          <w:snapToGrid w:val="0"/>
          <w:sz w:val="22"/>
        </w:rPr>
        <w:t xml:space="preserve">пятнадцатого заседания Комитета в декабре 2020 г. Этот инструмент </w:t>
      </w:r>
      <w:r w:rsidRPr="000263BB">
        <w:rPr>
          <w:rFonts w:ascii="Arial" w:hAnsi="Arial"/>
          <w:sz w:val="22"/>
        </w:rPr>
        <w:t>демонстрирует широкое разнообразие способов, посредством которых проявления и практики живого наследия, а также их охрана способствуют достижению семнадцати целей в области устойчивого развития в рамках повестки дня на период до 2030 года. Каждый из зарегистрированных элементов анализируется с использованием понятий (например, танца, деревьев, керамики) или стран — для обеспечения панорамной визуализации, которая указывает на то, с какими целями эти элементы связаны.</w:t>
      </w:r>
    </w:p>
    <w:p w14:paraId="5C8FBD0A" w14:textId="1A21E8FF" w:rsidR="00FB2F3D" w:rsidRPr="000263BB" w:rsidRDefault="00FB2F3D" w:rsidP="00FB2F3D">
      <w:pPr>
        <w:pStyle w:val="Marge"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  <w:rPr>
          <w:rFonts w:asciiTheme="minorBidi" w:hAnsiTheme="minorBidi" w:cstheme="minorBidi"/>
        </w:rPr>
      </w:pPr>
      <w:r w:rsidRPr="000263BB">
        <w:rPr>
          <w:rStyle w:val="hps"/>
        </w:rPr>
        <w:t xml:space="preserve">Процесс </w:t>
      </w:r>
      <w:r w:rsidRPr="000263BB">
        <w:rPr>
          <w:shd w:val="clear" w:color="auto" w:fill="FFFFFF"/>
        </w:rPr>
        <w:t xml:space="preserve">анализа консультативных функций предписанных к выполнению аккредитованными НПО, который осуществлялся коллегиально в сотрудничестве с </w:t>
      </w:r>
      <w:r w:rsidRPr="000263BB">
        <w:t>аккредитованными НПО, Форумом НПО МКГ, неофициальной специальной рабочей группой открытого состава, государствами-участниками и Секретариатом, был продолжен в настоящем отчетном периоде. В соответствии с решением четырнадцатого заседания Комитета (Решение</w:t>
      </w:r>
      <w:r w:rsidRPr="000263BB">
        <w:rPr>
          <w:color w:val="414042"/>
        </w:rPr>
        <w:t xml:space="preserve"> </w:t>
      </w:r>
      <w:hyperlink r:id="rId21" w:history="1">
        <w:r w:rsidRPr="000263BB">
          <w:rPr>
            <w:rStyle w:val="Hyperlink"/>
            <w:rFonts w:asciiTheme="minorBidi" w:hAnsiTheme="minorBidi"/>
            <w:szCs w:val="22"/>
          </w:rPr>
          <w:t>14.</w:t>
        </w:r>
        <w:r w:rsidR="00044AB6" w:rsidRPr="000263BB">
          <w:rPr>
            <w:rStyle w:val="Hyperlink"/>
            <w:rFonts w:asciiTheme="minorBidi" w:hAnsiTheme="minorBidi"/>
            <w:szCs w:val="22"/>
          </w:rPr>
          <w:t>COM</w:t>
        </w:r>
        <w:r w:rsidR="00044AB6" w:rsidRPr="004F0698">
          <w:rPr>
            <w:rStyle w:val="Hyperlink"/>
            <w:rFonts w:asciiTheme="minorBidi" w:hAnsiTheme="minorBidi"/>
            <w:szCs w:val="22"/>
          </w:rPr>
          <w:t> </w:t>
        </w:r>
        <w:r w:rsidRPr="000263BB">
          <w:rPr>
            <w:rStyle w:val="Hyperlink"/>
            <w:rFonts w:asciiTheme="minorBidi" w:hAnsiTheme="minorBidi"/>
            <w:szCs w:val="22"/>
          </w:rPr>
          <w:t>15</w:t>
        </w:r>
      </w:hyperlink>
      <w:r w:rsidRPr="000263BB">
        <w:t xml:space="preserve">), на пятнадцатом заседании Комитета в порядке эксперимента был рассмотрен «Отчет Форума неправительственных организаций» в качестве отдельного пункта (Решение </w:t>
      </w:r>
      <w:hyperlink r:id="rId22" w:history="1">
        <w:r w:rsidRPr="000263BB">
          <w:rPr>
            <w:rStyle w:val="Hyperlink"/>
            <w:szCs w:val="22"/>
          </w:rPr>
          <w:t>15.</w:t>
        </w:r>
        <w:r w:rsidR="00044AB6" w:rsidRPr="000263BB">
          <w:rPr>
            <w:rStyle w:val="Hyperlink"/>
            <w:szCs w:val="22"/>
          </w:rPr>
          <w:t>COM</w:t>
        </w:r>
        <w:r w:rsidR="00044AB6" w:rsidRPr="004F0698">
          <w:rPr>
            <w:rStyle w:val="Hyperlink"/>
            <w:szCs w:val="22"/>
          </w:rPr>
          <w:t> </w:t>
        </w:r>
        <w:r w:rsidRPr="000263BB">
          <w:rPr>
            <w:rStyle w:val="Hyperlink"/>
            <w:szCs w:val="22"/>
          </w:rPr>
          <w:t>6</w:t>
        </w:r>
      </w:hyperlink>
      <w:r w:rsidRPr="000263BB">
        <w:t>). Аналогичная практика использовалась и во время проведения шестнадцатого заседания Комитета (</w:t>
      </w:r>
      <w:r w:rsidR="001E63D2" w:rsidRPr="000263BB">
        <w:t>Решение</w:t>
      </w:r>
      <w:r w:rsidR="001E63D2">
        <w:rPr>
          <w:lang w:val="fr-FR"/>
        </w:rPr>
        <w:t> </w:t>
      </w:r>
      <w:hyperlink r:id="rId23" w:history="1">
        <w:r w:rsidRPr="000263BB">
          <w:rPr>
            <w:rStyle w:val="Hyperlink"/>
            <w:szCs w:val="22"/>
          </w:rPr>
          <w:t>16.</w:t>
        </w:r>
        <w:r w:rsidR="00044AB6" w:rsidRPr="000263BB">
          <w:rPr>
            <w:rStyle w:val="Hyperlink"/>
            <w:szCs w:val="22"/>
          </w:rPr>
          <w:t>COM</w:t>
        </w:r>
        <w:r w:rsidR="00044AB6" w:rsidRPr="004F0698">
          <w:rPr>
            <w:rStyle w:val="Hyperlink"/>
            <w:szCs w:val="22"/>
          </w:rPr>
          <w:t> </w:t>
        </w:r>
        <w:r w:rsidRPr="000263BB">
          <w:rPr>
            <w:rStyle w:val="Hyperlink"/>
            <w:szCs w:val="22"/>
          </w:rPr>
          <w:t>9</w:t>
        </w:r>
      </w:hyperlink>
      <w:r w:rsidRPr="000263BB">
        <w:t>).</w:t>
      </w:r>
    </w:p>
    <w:p w14:paraId="115411E9" w14:textId="77777777" w:rsidR="00FB2F3D" w:rsidRPr="000263BB" w:rsidRDefault="00FB2F3D" w:rsidP="00FB2F3D">
      <w:pPr>
        <w:keepNext/>
        <w:numPr>
          <w:ilvl w:val="0"/>
          <w:numId w:val="24"/>
        </w:numPr>
        <w:tabs>
          <w:tab w:val="num" w:pos="567"/>
        </w:tabs>
        <w:snapToGrid w:val="0"/>
        <w:spacing w:before="24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263BB">
        <w:rPr>
          <w:rFonts w:ascii="Arial" w:hAnsi="Arial"/>
          <w:b/>
          <w:bCs/>
          <w:sz w:val="22"/>
        </w:rPr>
        <w:t>Подготовка проекта плана использования средств Фонда и увеличения поступлений</w:t>
      </w:r>
      <w:r w:rsidRPr="000263BB">
        <w:rPr>
          <w:rFonts w:ascii="Arial" w:hAnsi="Arial"/>
          <w:sz w:val="22"/>
        </w:rPr>
        <w:t xml:space="preserve"> </w:t>
      </w:r>
      <w:r w:rsidRPr="000263BB">
        <w:rPr>
          <w:rFonts w:ascii="Arial" w:hAnsi="Arial"/>
          <w:b/>
          <w:bCs/>
          <w:sz w:val="22"/>
        </w:rPr>
        <w:t>в Фонд</w:t>
      </w:r>
      <w:r w:rsidRPr="000263BB">
        <w:rPr>
          <w:rFonts w:ascii="Arial" w:hAnsi="Arial"/>
          <w:sz w:val="22"/>
        </w:rPr>
        <w:t xml:space="preserve"> (Статьи 7[c] и 7[d])</w:t>
      </w:r>
    </w:p>
    <w:p w14:paraId="613FD2FC" w14:textId="21F44C31" w:rsidR="00FB2F3D" w:rsidRPr="000263BB" w:rsidRDefault="00FB2F3D" w:rsidP="00FB2F3D">
      <w:pPr>
        <w:pStyle w:val="Marge"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 w:rsidRPr="000263BB">
        <w:t>В ходе шестнадцатого заседания Комитетом был рассмотрен проект плана использования средств Фонда на период с 1 января 2022 г. по 31 декабря 2023 г. и, на предварительной основе, на первое полугодие 2024 г.</w:t>
      </w:r>
      <w:r w:rsidRPr="000263BB">
        <w:rPr>
          <w:rFonts w:asciiTheme="minorBidi" w:hAnsiTheme="minorBidi"/>
        </w:rPr>
        <w:t xml:space="preserve"> (Решение </w:t>
      </w:r>
      <w:hyperlink r:id="rId24" w:history="1">
        <w:r w:rsidRPr="000263BB">
          <w:rPr>
            <w:rStyle w:val="Hyperlink"/>
            <w:rFonts w:asciiTheme="minorBidi" w:hAnsiTheme="minorBidi"/>
            <w:szCs w:val="22"/>
          </w:rPr>
          <w:t>16.</w:t>
        </w:r>
        <w:r w:rsidR="00F12EB7" w:rsidRPr="000263BB">
          <w:rPr>
            <w:rStyle w:val="Hyperlink"/>
            <w:rFonts w:asciiTheme="minorBidi" w:hAnsiTheme="minorBidi"/>
            <w:szCs w:val="22"/>
          </w:rPr>
          <w:t>COM</w:t>
        </w:r>
        <w:r w:rsidR="00F12EB7" w:rsidRPr="004F0698">
          <w:rPr>
            <w:rStyle w:val="Hyperlink"/>
            <w:rFonts w:asciiTheme="minorBidi" w:hAnsiTheme="minorBidi"/>
            <w:szCs w:val="22"/>
          </w:rPr>
          <w:t> </w:t>
        </w:r>
        <w:r w:rsidRPr="000263BB">
          <w:rPr>
            <w:rStyle w:val="Hyperlink"/>
            <w:rFonts w:asciiTheme="minorBidi" w:hAnsiTheme="minorBidi"/>
            <w:szCs w:val="22"/>
          </w:rPr>
          <w:t>13</w:t>
        </w:r>
      </w:hyperlink>
      <w:r w:rsidRPr="000263BB">
        <w:rPr>
          <w:rFonts w:asciiTheme="minorBidi" w:hAnsiTheme="minorBidi"/>
        </w:rPr>
        <w:t xml:space="preserve">). </w:t>
      </w:r>
      <w:r w:rsidRPr="000263BB">
        <w:t>В соответствии с новой процедурой утверждения, введенной Комитетом в 2019 году для статьи «Прочая деятельность Комитета»</w:t>
      </w:r>
      <w:r w:rsidRPr="000263BB">
        <w:rPr>
          <w:rFonts w:asciiTheme="minorBidi" w:hAnsiTheme="minorBidi"/>
        </w:rPr>
        <w:t xml:space="preserve"> (Решение </w:t>
      </w:r>
      <w:hyperlink r:id="rId25" w:history="1">
        <w:r w:rsidRPr="000263BB">
          <w:rPr>
            <w:rStyle w:val="Hyperlink"/>
            <w:rFonts w:asciiTheme="minorBidi" w:hAnsiTheme="minorBidi"/>
            <w:szCs w:val="22"/>
          </w:rPr>
          <w:t>14.COM 7</w:t>
        </w:r>
      </w:hyperlink>
      <w:r w:rsidRPr="004F0698">
        <w:rPr>
          <w:rStyle w:val="Hyperlink"/>
          <w:rFonts w:asciiTheme="minorBidi" w:hAnsiTheme="minorBidi"/>
          <w:color w:val="auto"/>
          <w:u w:val="none"/>
        </w:rPr>
        <w:t>)</w:t>
      </w:r>
      <w:r w:rsidRPr="000263BB">
        <w:rPr>
          <w:rFonts w:asciiTheme="minorBidi" w:hAnsiTheme="minorBidi"/>
        </w:rPr>
        <w:t xml:space="preserve">, проект плана был представлен с процентной разбивкой по статье бюджета «Прочая деятельность Комитета», с точки зрения Ожидаемых результатов в соответствии с утвержденным документом C/5, поскольку Президиуму более не предоставляются полномочия на утверждение плана расходов по этой статье, начиная с двухлетнего периода 2020–2021 гг. и далее. Данный проект плана будет представлен на утверждение девятой сессии Генеральной Ассамблеи в 2022 году. Наибольшая доля в процентном выражении по-прежнему приходится на оказание международной помощи. </w:t>
      </w:r>
      <w:r w:rsidRPr="000263BB">
        <w:t xml:space="preserve">См. документ </w:t>
      </w:r>
      <w:hyperlink r:id="rId26" w:history="1">
        <w:r w:rsidRPr="000263BB">
          <w:rPr>
            <w:rStyle w:val="Hyperlink"/>
            <w:rFonts w:asciiTheme="minorBidi" w:hAnsiTheme="minorBidi"/>
          </w:rPr>
          <w:t>LHE/21/16.COM/13</w:t>
        </w:r>
      </w:hyperlink>
      <w:r w:rsidRPr="000263BB">
        <w:rPr>
          <w:rFonts w:asciiTheme="minorBidi" w:hAnsiTheme="minorBidi"/>
        </w:rPr>
        <w:t xml:space="preserve"> для ознакомления с подробным планом.</w:t>
      </w:r>
    </w:p>
    <w:p w14:paraId="688E085A" w14:textId="5AAC92B3" w:rsidR="00FB2F3D" w:rsidRPr="000263BB" w:rsidRDefault="00FB2F3D" w:rsidP="004F0698">
      <w:pPr>
        <w:pStyle w:val="Marge"/>
        <w:numPr>
          <w:ilvl w:val="0"/>
          <w:numId w:val="25"/>
        </w:numPr>
        <w:tabs>
          <w:tab w:val="clear" w:pos="502"/>
          <w:tab w:val="num" w:pos="567"/>
        </w:tabs>
        <w:spacing w:before="120" w:after="120"/>
        <w:ind w:left="567" w:hanging="567"/>
        <w:rPr>
          <w:rFonts w:asciiTheme="minorBidi" w:hAnsiTheme="minorBidi" w:cstheme="minorBidi"/>
          <w:szCs w:val="22"/>
        </w:rPr>
      </w:pPr>
      <w:r w:rsidRPr="000263BB">
        <w:t xml:space="preserve">За отчетный период в Фонд поступили дополнительные добровольные взносы в сумме </w:t>
      </w:r>
      <w:r w:rsidR="00735558" w:rsidRPr="004F0698">
        <w:t>850 </w:t>
      </w:r>
      <w:r w:rsidRPr="004F0698">
        <w:t>904,75</w:t>
      </w:r>
      <w:r w:rsidRPr="000263BB">
        <w:t xml:space="preserve"> долларов США от Азербайджана, Франции, Кувейта, </w:t>
      </w:r>
      <w:r w:rsidRPr="004F0698">
        <w:t>Нидерландов</w:t>
      </w:r>
      <w:r w:rsidRPr="000263BB">
        <w:t xml:space="preserve">, Швейцарии и Международного информационно-сетевого центра нематериального культурного наследия в Азиатско-Тихоокеанском регионе под эгидой ЮНЕСКО (Республика Корея) с целью финансирования двух приоритетных направлений: «Укрепление потенциала охраны нематериального культурного наследия и вклада в устойчивое развитие» и «Охрана нематериального культурного наследия в формальном и неформальном образовании», которые были утверждены на период 2018–2021 гг. </w:t>
      </w:r>
      <w:r w:rsidRPr="000263BB">
        <w:rPr>
          <w:rFonts w:asciiTheme="minorBidi" w:hAnsiTheme="minorBidi"/>
        </w:rPr>
        <w:t xml:space="preserve">(Решение </w:t>
      </w:r>
      <w:hyperlink r:id="rId27" w:history="1">
        <w:r w:rsidRPr="000263BB">
          <w:rPr>
            <w:rStyle w:val="Hyperlink"/>
            <w:rFonts w:asciiTheme="minorBidi" w:hAnsiTheme="minorBidi"/>
            <w:szCs w:val="22"/>
          </w:rPr>
          <w:t>12.</w:t>
        </w:r>
        <w:r w:rsidR="00C858FD" w:rsidRPr="000263BB">
          <w:rPr>
            <w:rStyle w:val="Hyperlink"/>
            <w:rFonts w:asciiTheme="minorBidi" w:hAnsiTheme="minorBidi"/>
            <w:szCs w:val="22"/>
          </w:rPr>
          <w:t>COM</w:t>
        </w:r>
        <w:r w:rsidR="00C858FD" w:rsidRPr="004F0698">
          <w:rPr>
            <w:rStyle w:val="Hyperlink"/>
            <w:rFonts w:asciiTheme="minorBidi" w:hAnsiTheme="minorBidi"/>
            <w:szCs w:val="22"/>
          </w:rPr>
          <w:t> </w:t>
        </w:r>
        <w:r w:rsidRPr="000263BB">
          <w:rPr>
            <w:rStyle w:val="Hyperlink"/>
            <w:rFonts w:asciiTheme="minorBidi" w:hAnsiTheme="minorBidi"/>
            <w:szCs w:val="22"/>
          </w:rPr>
          <w:t>6</w:t>
        </w:r>
      </w:hyperlink>
      <w:r w:rsidRPr="000263BB">
        <w:rPr>
          <w:rFonts w:asciiTheme="minorBidi" w:hAnsiTheme="minorBidi"/>
        </w:rPr>
        <w:t xml:space="preserve">), а впоследствии срок их действия был продлен на шестнадцатом заседании Комитета (Решение </w:t>
      </w:r>
      <w:hyperlink r:id="rId28" w:history="1">
        <w:r w:rsidRPr="000263BB">
          <w:rPr>
            <w:rStyle w:val="Hyperlink"/>
            <w:rFonts w:asciiTheme="minorBidi" w:hAnsiTheme="minorBidi"/>
            <w:szCs w:val="22"/>
          </w:rPr>
          <w:t>16.</w:t>
        </w:r>
        <w:r w:rsidR="00C858FD" w:rsidRPr="000263BB">
          <w:rPr>
            <w:rStyle w:val="Hyperlink"/>
            <w:rFonts w:asciiTheme="minorBidi" w:hAnsiTheme="minorBidi"/>
            <w:szCs w:val="22"/>
          </w:rPr>
          <w:t>COM</w:t>
        </w:r>
        <w:r w:rsidR="00C858FD" w:rsidRPr="004F0698">
          <w:rPr>
            <w:rStyle w:val="Hyperlink"/>
            <w:rFonts w:asciiTheme="minorBidi" w:hAnsiTheme="minorBidi"/>
            <w:szCs w:val="22"/>
          </w:rPr>
          <w:t> </w:t>
        </w:r>
        <w:r w:rsidRPr="000263BB">
          <w:rPr>
            <w:rStyle w:val="Hyperlink"/>
            <w:rFonts w:asciiTheme="minorBidi" w:hAnsiTheme="minorBidi"/>
            <w:szCs w:val="22"/>
          </w:rPr>
          <w:t>12</w:t>
        </w:r>
      </w:hyperlink>
      <w:r w:rsidRPr="000263BB">
        <w:rPr>
          <w:rFonts w:asciiTheme="minorBidi" w:hAnsiTheme="minorBidi"/>
        </w:rPr>
        <w:t xml:space="preserve">). В Субфонд Фонда, предназначенный исключительно для целей укрепления кадрового потенциала Секретариата, также поступили взносы в сумме </w:t>
      </w:r>
      <w:r w:rsidR="00C858FD" w:rsidRPr="004F0698">
        <w:rPr>
          <w:rFonts w:asciiTheme="minorBidi" w:hAnsiTheme="minorBidi"/>
        </w:rPr>
        <w:t>65 </w:t>
      </w:r>
      <w:r w:rsidRPr="004F0698">
        <w:rPr>
          <w:rFonts w:asciiTheme="minorBidi" w:hAnsiTheme="minorBidi"/>
        </w:rPr>
        <w:t>597,63</w:t>
      </w:r>
      <w:r w:rsidRPr="000263BB">
        <w:rPr>
          <w:rFonts w:asciiTheme="minorBidi" w:hAnsiTheme="minorBidi"/>
        </w:rPr>
        <w:t xml:space="preserve"> долларов США от Литвы, Монако, Палестины, Словакии и Фонда Музея скрипки Антонио Страдивари (Италия). </w:t>
      </w:r>
      <w:r w:rsidRPr="000263BB">
        <w:t xml:space="preserve">В документе </w:t>
      </w:r>
      <w:hyperlink r:id="rId29" w:history="1">
        <w:r w:rsidRPr="004F0698">
          <w:rPr>
            <w:rStyle w:val="Hyperlink"/>
          </w:rPr>
          <w:t>LHE/22/9.GA/INF.</w:t>
        </w:r>
        <w:r w:rsidR="00735558" w:rsidRPr="004F0698">
          <w:rPr>
            <w:rStyle w:val="Hyperlink"/>
          </w:rPr>
          <w:t>10</w:t>
        </w:r>
      </w:hyperlink>
      <w:r w:rsidRPr="000263BB">
        <w:t xml:space="preserve"> в Приложении </w:t>
      </w:r>
      <w:r w:rsidR="009A265C" w:rsidRPr="000263BB">
        <w:t>I</w:t>
      </w:r>
      <w:r w:rsidRPr="000263BB">
        <w:t xml:space="preserve">I приводится перечень таких взносов за период с 1 января 2020 г. по </w:t>
      </w:r>
      <w:r w:rsidRPr="004F0698">
        <w:t>31 декабря 2021 г.</w:t>
      </w:r>
      <w:r w:rsidRPr="000263BB">
        <w:t xml:space="preserve">, а также отчет о доходах и расходах в Приложении I </w:t>
      </w:r>
      <w:r w:rsidRPr="004F0698">
        <w:t>(Отчет I)</w:t>
      </w:r>
      <w:r w:rsidRPr="000263BB">
        <w:t>.</w:t>
      </w:r>
    </w:p>
    <w:p w14:paraId="2BE359BC" w14:textId="2984B811" w:rsidR="00FB2F3D" w:rsidRPr="000263BB" w:rsidRDefault="00FB2F3D">
      <w:pPr>
        <w:keepNext/>
        <w:numPr>
          <w:ilvl w:val="0"/>
          <w:numId w:val="24"/>
        </w:numPr>
        <w:spacing w:before="240" w:after="120"/>
        <w:ind w:left="562" w:hanging="562"/>
        <w:jc w:val="both"/>
        <w:rPr>
          <w:rFonts w:ascii="Arial" w:hAnsi="Arial" w:cs="Arial"/>
          <w:b/>
          <w:sz w:val="22"/>
          <w:szCs w:val="22"/>
        </w:rPr>
      </w:pPr>
      <w:r w:rsidRPr="000263BB">
        <w:rPr>
          <w:rFonts w:ascii="Arial" w:hAnsi="Arial"/>
          <w:b/>
          <w:bCs/>
          <w:sz w:val="22"/>
        </w:rPr>
        <w:t xml:space="preserve">Подготовка Оперативного </w:t>
      </w:r>
      <w:r w:rsidR="00FB2834" w:rsidRPr="000263BB">
        <w:rPr>
          <w:rFonts w:ascii="Arial" w:hAnsi="Arial"/>
          <w:b/>
          <w:bCs/>
          <w:sz w:val="22"/>
        </w:rPr>
        <w:t xml:space="preserve">руководства </w:t>
      </w:r>
      <w:r w:rsidRPr="000263BB">
        <w:rPr>
          <w:rFonts w:ascii="Arial" w:hAnsi="Arial"/>
          <w:b/>
          <w:bCs/>
          <w:sz w:val="22"/>
        </w:rPr>
        <w:t>по осуществлению Конвенции</w:t>
      </w:r>
      <w:r w:rsidRPr="000263BB">
        <w:rPr>
          <w:rFonts w:ascii="Arial" w:hAnsi="Arial"/>
          <w:sz w:val="22"/>
        </w:rPr>
        <w:t xml:space="preserve"> (Статья 7[e])</w:t>
      </w:r>
    </w:p>
    <w:p w14:paraId="4BF6507F" w14:textId="2A61412F" w:rsidR="00FB2F3D" w:rsidRPr="000263BB" w:rsidRDefault="00FB2F3D" w:rsidP="004F0698">
      <w:pPr>
        <w:pStyle w:val="Marge"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  <w:rPr>
          <w:rFonts w:eastAsia="Arial"/>
          <w:i/>
          <w:szCs w:val="22"/>
        </w:rPr>
      </w:pPr>
      <w:r w:rsidRPr="000263BB">
        <w:t xml:space="preserve">В отчетный период Комитет рассмотрел рекомендации Межправительственной рабочей группы открытого состава в рамках вышеупомянутого глобального анализа и рекомендовал Генеральной Ассамблее утвердить поправки к Оперативному </w:t>
      </w:r>
      <w:r w:rsidR="00FB2834" w:rsidRPr="000263BB">
        <w:t xml:space="preserve">руководству </w:t>
      </w:r>
      <w:r w:rsidRPr="000263BB">
        <w:t xml:space="preserve">по механизмам включения в </w:t>
      </w:r>
      <w:r w:rsidR="00FB2834" w:rsidRPr="000263BB">
        <w:t>с</w:t>
      </w:r>
      <w:r w:rsidRPr="000263BB">
        <w:t xml:space="preserve">писки Конвенции (Решение </w:t>
      </w:r>
      <w:hyperlink r:id="rId30" w:history="1">
        <w:r w:rsidRPr="000263BB">
          <w:rPr>
            <w:rStyle w:val="Hyperlink"/>
          </w:rPr>
          <w:t>16.</w:t>
        </w:r>
        <w:r w:rsidR="00323A5D" w:rsidRPr="000263BB">
          <w:rPr>
            <w:rStyle w:val="Hyperlink"/>
          </w:rPr>
          <w:t>COM</w:t>
        </w:r>
        <w:r w:rsidR="00323A5D" w:rsidRPr="004F0698">
          <w:rPr>
            <w:rStyle w:val="Hyperlink"/>
          </w:rPr>
          <w:t> </w:t>
        </w:r>
        <w:r w:rsidRPr="000263BB">
          <w:rPr>
            <w:rStyle w:val="Hyperlink"/>
          </w:rPr>
          <w:t>14</w:t>
        </w:r>
      </w:hyperlink>
      <w:r w:rsidRPr="000263BB">
        <w:t>).</w:t>
      </w:r>
    </w:p>
    <w:p w14:paraId="437AF1C0" w14:textId="77777777" w:rsidR="00FB2F3D" w:rsidRPr="000263BB" w:rsidRDefault="00FB2F3D" w:rsidP="00FB2F3D">
      <w:pPr>
        <w:keepNext/>
        <w:numPr>
          <w:ilvl w:val="0"/>
          <w:numId w:val="24"/>
        </w:numPr>
        <w:tabs>
          <w:tab w:val="num" w:pos="567"/>
        </w:tabs>
        <w:spacing w:before="240" w:after="120"/>
        <w:ind w:left="562" w:hanging="562"/>
        <w:rPr>
          <w:rFonts w:ascii="Arial" w:hAnsi="Arial" w:cs="Arial"/>
          <w:b/>
          <w:sz w:val="22"/>
          <w:szCs w:val="22"/>
        </w:rPr>
      </w:pPr>
      <w:r w:rsidRPr="000263BB">
        <w:rPr>
          <w:rFonts w:ascii="Arial" w:hAnsi="Arial"/>
          <w:b/>
          <w:bCs/>
          <w:sz w:val="22"/>
        </w:rPr>
        <w:t xml:space="preserve">Рассмотрение периодических докладов </w:t>
      </w:r>
      <w:r w:rsidRPr="000263BB">
        <w:rPr>
          <w:rFonts w:ascii="Arial" w:hAnsi="Arial"/>
          <w:sz w:val="22"/>
        </w:rPr>
        <w:t>(Статья 7[f])</w:t>
      </w:r>
    </w:p>
    <w:p w14:paraId="5E9935E1" w14:textId="28FF468C" w:rsidR="00FB2F3D" w:rsidRPr="000263BB" w:rsidRDefault="00FB2F3D" w:rsidP="004F0698">
      <w:pPr>
        <w:pStyle w:val="Marge"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 w:rsidRPr="000263BB">
        <w:t>Комитетом было рассмотрено двадцать семь докладов о состоянии элементов, включенных в Список срочной охраны</w:t>
      </w:r>
      <w:r w:rsidRPr="000263BB">
        <w:rPr>
          <w:rFonts w:asciiTheme="minorBidi" w:hAnsiTheme="minorBidi"/>
        </w:rPr>
        <w:t xml:space="preserve">: </w:t>
      </w:r>
      <w:hyperlink r:id="rId31" w:history="1">
        <w:r w:rsidRPr="000263BB">
          <w:rPr>
            <w:rStyle w:val="Hyperlink"/>
            <w:rFonts w:asciiTheme="minorBidi" w:hAnsiTheme="minorBidi"/>
            <w:szCs w:val="22"/>
          </w:rPr>
          <w:t>девять</w:t>
        </w:r>
      </w:hyperlink>
      <w:r w:rsidRPr="000263BB">
        <w:rPr>
          <w:rFonts w:asciiTheme="minorBidi" w:hAnsiTheme="minorBidi"/>
        </w:rPr>
        <w:t xml:space="preserve"> в рамках пятнадцатого заседания в 2020 г. и </w:t>
      </w:r>
      <w:hyperlink r:id="rId32" w:history="1">
        <w:r w:rsidRPr="000263BB">
          <w:rPr>
            <w:rStyle w:val="Hyperlink"/>
            <w:rFonts w:asciiTheme="minorBidi" w:hAnsiTheme="minorBidi"/>
            <w:szCs w:val="22"/>
          </w:rPr>
          <w:t>восемнадцать</w:t>
        </w:r>
      </w:hyperlink>
      <w:r w:rsidRPr="000263BB">
        <w:rPr>
          <w:rFonts w:asciiTheme="minorBidi" w:hAnsiTheme="minorBidi"/>
        </w:rPr>
        <w:t xml:space="preserve"> в рамках шестнадцатого заседания в 2021 г. </w:t>
      </w:r>
      <w:r w:rsidRPr="000263BB">
        <w:t>При рассмотрении указанных докладов Комитет отметил повышенную степень жизнеспособности некоторых зарегистрированных элементов, которые, как сообщалось, более не нуждаются в срочной охране, и принял к сведению заявления государств-участников, выразивших желание перенести элементы из Списка срочной охраны в Репрезентативный список (</w:t>
      </w:r>
      <w:r w:rsidRPr="004F0698">
        <w:rPr>
          <w:rFonts w:asciiTheme="minorBidi" w:hAnsiTheme="minorBidi"/>
        </w:rPr>
        <w:t xml:space="preserve">документы </w:t>
      </w:r>
      <w:hyperlink r:id="rId33" w:history="1">
        <w:r w:rsidRPr="004F0698">
          <w:rPr>
            <w:rStyle w:val="Hyperlink"/>
            <w:rFonts w:asciiTheme="minorBidi" w:hAnsiTheme="minorBidi"/>
            <w:szCs w:val="22"/>
          </w:rPr>
          <w:t>LHE/20/15.COM/7</w:t>
        </w:r>
      </w:hyperlink>
      <w:r w:rsidRPr="004F0698">
        <w:rPr>
          <w:rFonts w:asciiTheme="minorBidi" w:hAnsiTheme="minorBidi"/>
        </w:rPr>
        <w:t xml:space="preserve"> и </w:t>
      </w:r>
      <w:hyperlink r:id="rId34" w:history="1">
        <w:r w:rsidRPr="004F0698">
          <w:rPr>
            <w:rStyle w:val="Hyperlink"/>
            <w:rFonts w:asciiTheme="minorBidi" w:hAnsiTheme="minorBidi"/>
            <w:szCs w:val="22"/>
          </w:rPr>
          <w:t>LHE/21/16.COM/7.a</w:t>
        </w:r>
      </w:hyperlink>
      <w:r w:rsidR="009A265C" w:rsidRPr="000263BB">
        <w:rPr>
          <w:rStyle w:val="Hyperlink"/>
          <w:rFonts w:asciiTheme="minorBidi" w:hAnsiTheme="minorBidi"/>
          <w:szCs w:val="22"/>
        </w:rPr>
        <w:t>,</w:t>
      </w:r>
      <w:r w:rsidRPr="000263BB">
        <w:rPr>
          <w:rFonts w:asciiTheme="minorBidi" w:hAnsiTheme="minorBidi"/>
        </w:rPr>
        <w:t xml:space="preserve"> Решения </w:t>
      </w:r>
      <w:hyperlink r:id="rId35" w:history="1">
        <w:r w:rsidRPr="000263BB">
          <w:rPr>
            <w:rStyle w:val="Hyperlink"/>
            <w:rFonts w:asciiTheme="minorBidi" w:hAnsiTheme="minorBidi"/>
            <w:szCs w:val="22"/>
          </w:rPr>
          <w:t>15.</w:t>
        </w:r>
        <w:r w:rsidR="002C611D" w:rsidRPr="000263BB">
          <w:rPr>
            <w:rStyle w:val="Hyperlink"/>
            <w:rFonts w:asciiTheme="minorBidi" w:hAnsiTheme="minorBidi"/>
            <w:szCs w:val="22"/>
          </w:rPr>
          <w:t>COM</w:t>
        </w:r>
        <w:r w:rsidR="002C611D" w:rsidRPr="004F0698">
          <w:rPr>
            <w:rStyle w:val="Hyperlink"/>
            <w:rFonts w:asciiTheme="minorBidi" w:hAnsiTheme="minorBidi"/>
            <w:szCs w:val="22"/>
          </w:rPr>
          <w:t> </w:t>
        </w:r>
        <w:r w:rsidRPr="000263BB">
          <w:rPr>
            <w:rStyle w:val="Hyperlink"/>
            <w:rFonts w:asciiTheme="minorBidi" w:hAnsiTheme="minorBidi"/>
            <w:szCs w:val="22"/>
          </w:rPr>
          <w:t>7</w:t>
        </w:r>
      </w:hyperlink>
      <w:r w:rsidRPr="000263BB">
        <w:rPr>
          <w:rFonts w:asciiTheme="minorBidi" w:hAnsiTheme="minorBidi"/>
        </w:rPr>
        <w:t xml:space="preserve"> и </w:t>
      </w:r>
      <w:hyperlink r:id="rId36" w:history="1">
        <w:r w:rsidRPr="000263BB">
          <w:rPr>
            <w:rStyle w:val="Hyperlink"/>
            <w:rFonts w:asciiTheme="minorBidi" w:hAnsiTheme="minorBidi"/>
            <w:szCs w:val="22"/>
          </w:rPr>
          <w:t>16.</w:t>
        </w:r>
        <w:r w:rsidR="002C611D" w:rsidRPr="000263BB">
          <w:rPr>
            <w:rStyle w:val="Hyperlink"/>
            <w:rFonts w:asciiTheme="minorBidi" w:hAnsiTheme="minorBidi"/>
            <w:szCs w:val="22"/>
          </w:rPr>
          <w:t>COM</w:t>
        </w:r>
        <w:r w:rsidR="002C611D" w:rsidRPr="004F0698">
          <w:rPr>
            <w:rStyle w:val="Hyperlink"/>
            <w:rFonts w:asciiTheme="minorBidi" w:hAnsiTheme="minorBidi"/>
            <w:szCs w:val="22"/>
          </w:rPr>
          <w:t> </w:t>
        </w:r>
        <w:r w:rsidRPr="000263BB">
          <w:rPr>
            <w:rStyle w:val="Hyperlink"/>
            <w:rFonts w:asciiTheme="minorBidi" w:hAnsiTheme="minorBidi"/>
            <w:szCs w:val="22"/>
          </w:rPr>
          <w:t>7.a</w:t>
        </w:r>
      </w:hyperlink>
      <w:r w:rsidRPr="000263BB">
        <w:rPr>
          <w:rFonts w:asciiTheme="minorBidi" w:hAnsiTheme="minorBidi"/>
        </w:rPr>
        <w:t>).</w:t>
      </w:r>
    </w:p>
    <w:p w14:paraId="36B4DE7E" w14:textId="64423E33" w:rsidR="00FB2F3D" w:rsidRPr="000263BB" w:rsidRDefault="00FB2F3D" w:rsidP="00FB2F3D">
      <w:pPr>
        <w:pStyle w:val="Marge"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  <w:rPr>
          <w:rFonts w:asciiTheme="minorBidi" w:hAnsiTheme="minorBidi" w:cstheme="minorBidi"/>
          <w:szCs w:val="22"/>
        </w:rPr>
      </w:pPr>
      <w:r w:rsidRPr="000263BB">
        <w:t xml:space="preserve">В связи с запуском в 2020 году новой системы периодической отчетности по осуществлению Конвенции и об элементах, включенных в Репрезентативный список нематериального культурного наследия человечества, которая была преобразована в систему отчетности с региональной ротацией через каждые шесть лет, в ходе шестнадцатого заседания Комитета было рассмотрено </w:t>
      </w:r>
      <w:hyperlink r:id="rId37" w:history="1">
        <w:r w:rsidRPr="000263BB">
          <w:rPr>
            <w:rStyle w:val="Hyperlink"/>
            <w:rFonts w:asciiTheme="minorBidi" w:hAnsiTheme="minorBidi"/>
            <w:szCs w:val="22"/>
          </w:rPr>
          <w:t>двадцать восемь докладов</w:t>
        </w:r>
      </w:hyperlink>
      <w:r w:rsidRPr="000263BB">
        <w:t xml:space="preserve">, представленных государствами-участниками в регионе Латинской Америки и Карибского бассейна в качестве первого цикла региональной отчетности </w:t>
      </w:r>
      <w:r w:rsidRPr="000263BB">
        <w:rPr>
          <w:rFonts w:asciiTheme="minorBidi" w:hAnsiTheme="minorBidi"/>
        </w:rPr>
        <w:t xml:space="preserve">(документ </w:t>
      </w:r>
      <w:hyperlink r:id="rId38" w:history="1">
        <w:r w:rsidRPr="000263BB">
          <w:rPr>
            <w:rStyle w:val="Hyperlink"/>
            <w:rFonts w:asciiTheme="minorBidi" w:hAnsiTheme="minorBidi"/>
            <w:szCs w:val="22"/>
          </w:rPr>
          <w:t>LHE/21/16.COM/7.b</w:t>
        </w:r>
      </w:hyperlink>
      <w:r w:rsidRPr="004F0698">
        <w:rPr>
          <w:rStyle w:val="Hyperlink"/>
          <w:rFonts w:asciiTheme="minorBidi" w:hAnsiTheme="minorBidi"/>
          <w:color w:val="auto"/>
          <w:u w:val="none"/>
        </w:rPr>
        <w:t xml:space="preserve"> </w:t>
      </w:r>
      <w:r w:rsidRPr="000263BB">
        <w:rPr>
          <w:rFonts w:asciiTheme="minorBidi" w:hAnsiTheme="minorBidi"/>
        </w:rPr>
        <w:t>и Решение</w:t>
      </w:r>
      <w:r w:rsidR="00FC092B" w:rsidRPr="004F0698">
        <w:rPr>
          <w:rFonts w:asciiTheme="minorBidi" w:hAnsiTheme="minorBidi"/>
        </w:rPr>
        <w:t xml:space="preserve"> </w:t>
      </w:r>
      <w:hyperlink r:id="rId39" w:history="1">
        <w:r w:rsidRPr="000263BB">
          <w:rPr>
            <w:rStyle w:val="Hyperlink"/>
            <w:rFonts w:asciiTheme="minorBidi" w:hAnsiTheme="minorBidi"/>
            <w:szCs w:val="22"/>
          </w:rPr>
          <w:t>16.</w:t>
        </w:r>
        <w:r w:rsidR="001038BD" w:rsidRPr="000263BB">
          <w:rPr>
            <w:rStyle w:val="Hyperlink"/>
            <w:rFonts w:asciiTheme="minorBidi" w:hAnsiTheme="minorBidi"/>
            <w:szCs w:val="22"/>
          </w:rPr>
          <w:t>COM</w:t>
        </w:r>
        <w:r w:rsidR="001038BD" w:rsidRPr="004F0698">
          <w:rPr>
            <w:rStyle w:val="Hyperlink"/>
            <w:rFonts w:asciiTheme="minorBidi" w:hAnsiTheme="minorBidi"/>
            <w:szCs w:val="22"/>
          </w:rPr>
          <w:t> </w:t>
        </w:r>
        <w:r w:rsidRPr="000263BB">
          <w:rPr>
            <w:rStyle w:val="Hyperlink"/>
            <w:rFonts w:asciiTheme="minorBidi" w:hAnsiTheme="minorBidi"/>
            <w:szCs w:val="22"/>
          </w:rPr>
          <w:t>7.b</w:t>
        </w:r>
      </w:hyperlink>
      <w:r w:rsidRPr="000263BB">
        <w:rPr>
          <w:rFonts w:asciiTheme="minorBidi" w:hAnsiTheme="minorBidi"/>
        </w:rPr>
        <w:t xml:space="preserve">). Это самый высокий показатель представления докладов за всю историю: 88 процентов от числа подлежащих представлению докладов (представлено двадцать восемь докладов из тридцати двух ожидаемых), в связи с чем Комитетом был отмечен значительный рост по сравнению с прошлыми циклами отчетности (самый низкий показатель представления докладов составлял 16 процентов в цикле 2016 года). </w:t>
      </w:r>
      <w:r w:rsidRPr="000263BB">
        <w:t>Такой существенный рост в первом цикле региональной системы отчетности свидетельствует об успехе реформы, благодаря которой отчетность была приведена в соответствие с Матрицей общих результатов. Это поспособствовало формированию отчетности, ориентированной на результаты, а также разработке и внедрению государствами подхода к наращиванию потенциала в подготовке отчетности.</w:t>
      </w:r>
    </w:p>
    <w:p w14:paraId="53C854E0" w14:textId="28617A56" w:rsidR="00FB2F3D" w:rsidRPr="000263BB" w:rsidRDefault="00FB2834">
      <w:pPr>
        <w:keepNext/>
        <w:numPr>
          <w:ilvl w:val="0"/>
          <w:numId w:val="24"/>
        </w:numPr>
        <w:spacing w:before="240"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0263BB">
        <w:rPr>
          <w:rFonts w:ascii="Arial" w:hAnsi="Arial"/>
          <w:b/>
          <w:bCs/>
          <w:sz w:val="22"/>
        </w:rPr>
        <w:t xml:space="preserve">Включение </w:t>
      </w:r>
      <w:r w:rsidR="00FB2F3D" w:rsidRPr="000263BB">
        <w:rPr>
          <w:rFonts w:ascii="Arial" w:hAnsi="Arial"/>
          <w:b/>
          <w:bCs/>
          <w:sz w:val="22"/>
        </w:rPr>
        <w:t xml:space="preserve">в </w:t>
      </w:r>
      <w:r w:rsidRPr="000263BB">
        <w:rPr>
          <w:rFonts w:ascii="Arial" w:hAnsi="Arial"/>
          <w:b/>
          <w:bCs/>
          <w:sz w:val="22"/>
        </w:rPr>
        <w:t>с</w:t>
      </w:r>
      <w:r w:rsidR="00FB2F3D" w:rsidRPr="000263BB">
        <w:rPr>
          <w:rFonts w:ascii="Arial" w:hAnsi="Arial"/>
          <w:b/>
          <w:bCs/>
          <w:sz w:val="22"/>
        </w:rPr>
        <w:t>писк</w:t>
      </w:r>
      <w:r w:rsidRPr="000263BB">
        <w:rPr>
          <w:rFonts w:ascii="Arial" w:hAnsi="Arial"/>
          <w:b/>
          <w:bCs/>
          <w:sz w:val="22"/>
        </w:rPr>
        <w:t xml:space="preserve">и </w:t>
      </w:r>
      <w:r w:rsidR="00FB2F3D" w:rsidRPr="000263BB">
        <w:rPr>
          <w:rFonts w:ascii="Arial" w:hAnsi="Arial"/>
          <w:b/>
          <w:bCs/>
          <w:sz w:val="22"/>
        </w:rPr>
        <w:t xml:space="preserve">Конвенции, </w:t>
      </w:r>
      <w:r w:rsidRPr="000263BB">
        <w:rPr>
          <w:rFonts w:ascii="Arial" w:hAnsi="Arial"/>
          <w:b/>
          <w:bCs/>
          <w:sz w:val="22"/>
        </w:rPr>
        <w:t xml:space="preserve">отбор передовой </w:t>
      </w:r>
      <w:r w:rsidR="00FB2F3D" w:rsidRPr="000263BB">
        <w:rPr>
          <w:rFonts w:ascii="Arial" w:hAnsi="Arial"/>
          <w:b/>
          <w:bCs/>
          <w:sz w:val="22"/>
        </w:rPr>
        <w:t xml:space="preserve">практики охраны и предоставление международной помощи </w:t>
      </w:r>
      <w:r w:rsidR="00FB2F3D" w:rsidRPr="000263BB">
        <w:rPr>
          <w:rFonts w:ascii="Arial" w:hAnsi="Arial"/>
          <w:sz w:val="22"/>
        </w:rPr>
        <w:t>(Статья 7[g])</w:t>
      </w:r>
    </w:p>
    <w:p w14:paraId="476CEBB1" w14:textId="518041A1" w:rsidR="00FB2F3D" w:rsidRPr="000263BB" w:rsidRDefault="00FB2F3D" w:rsidP="004F0698">
      <w:pPr>
        <w:pStyle w:val="Marge"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  <w:rPr>
          <w:rFonts w:asciiTheme="minorBidi" w:hAnsiTheme="minorBidi"/>
          <w:szCs w:val="22"/>
        </w:rPr>
      </w:pPr>
      <w:r w:rsidRPr="000263BB">
        <w:rPr>
          <w:rFonts w:asciiTheme="minorBidi" w:hAnsiTheme="minorBidi"/>
        </w:rPr>
        <w:t xml:space="preserve">Комитетом было изучено девяносто три досье и зарегистрировано в Списках Конвенции в общей сложности семьдесят четыре элемента: семь в Списке срочной охраны и шестьдесят семь — в Репрезентативном списке. Кроме того, было отобрано семь </w:t>
      </w:r>
      <w:r w:rsidR="00FB2834" w:rsidRPr="000263BB">
        <w:rPr>
          <w:rFonts w:asciiTheme="minorBidi" w:hAnsiTheme="minorBidi"/>
        </w:rPr>
        <w:t xml:space="preserve">передовых </w:t>
      </w:r>
      <w:r w:rsidRPr="000263BB">
        <w:rPr>
          <w:rFonts w:asciiTheme="minorBidi" w:hAnsiTheme="minorBidi"/>
        </w:rPr>
        <w:t>практик охраны. Также в ходе шестнадцатого заседания</w:t>
      </w:r>
      <w:r w:rsidR="00263D25" w:rsidRPr="004F0698">
        <w:rPr>
          <w:rFonts w:asciiTheme="minorBidi" w:hAnsiTheme="minorBidi"/>
        </w:rPr>
        <w:t xml:space="preserve"> </w:t>
      </w:r>
      <w:hyperlink r:id="rId40" w:history="1">
        <w:r w:rsidRPr="004F0698">
          <w:t>Комитетом</w:t>
        </w:r>
      </w:hyperlink>
      <w:r w:rsidRPr="000263BB">
        <w:rPr>
          <w:rFonts w:asciiTheme="minorBidi" w:hAnsiTheme="minorBidi"/>
        </w:rPr>
        <w:t xml:space="preserve"> было принято решение о включении в Репрезентативный список номинированного Гаити «супа Джуму». </w:t>
      </w:r>
      <w:r w:rsidRPr="004F0698">
        <w:rPr>
          <w:rFonts w:asciiTheme="minorBidi" w:hAnsiTheme="minorBidi"/>
        </w:rPr>
        <w:t xml:space="preserve">В отношении данной номинации было </w:t>
      </w:r>
      <w:r w:rsidR="00637DD3" w:rsidRPr="004F0698">
        <w:t xml:space="preserve">получено </w:t>
      </w:r>
      <w:hyperlink r:id="rId41" w:history="1">
        <w:r w:rsidR="00637DD3" w:rsidRPr="004F0698">
          <w:rPr>
            <w:rStyle w:val="Hyperlink"/>
            <w:rFonts w:asciiTheme="minorBidi" w:hAnsiTheme="minorBidi"/>
            <w:szCs w:val="22"/>
          </w:rPr>
          <w:t>письмо</w:t>
        </w:r>
      </w:hyperlink>
      <w:r w:rsidRPr="004F0698">
        <w:rPr>
          <w:rFonts w:asciiTheme="minorBidi" w:hAnsiTheme="minorBidi"/>
        </w:rPr>
        <w:t xml:space="preserve"> от двух государств-участников.</w:t>
      </w:r>
      <w:r w:rsidRPr="000263BB">
        <w:rPr>
          <w:rFonts w:asciiTheme="minorBidi" w:hAnsiTheme="minorBidi"/>
        </w:rPr>
        <w:t xml:space="preserve"> В соответствии с поправкой к Оперативному </w:t>
      </w:r>
      <w:r w:rsidR="00FB2834" w:rsidRPr="000263BB">
        <w:rPr>
          <w:rFonts w:asciiTheme="minorBidi" w:hAnsiTheme="minorBidi"/>
        </w:rPr>
        <w:t>руководству</w:t>
      </w:r>
      <w:r w:rsidRPr="000263BB">
        <w:rPr>
          <w:rFonts w:asciiTheme="minorBidi" w:hAnsiTheme="minorBidi"/>
        </w:rPr>
        <w:t xml:space="preserve">, одобренной 8.GA, </w:t>
      </w:r>
      <w:r w:rsidRPr="000263BB">
        <w:rPr>
          <w:rFonts w:asciiTheme="minorBidi" w:hAnsiTheme="minorBidi"/>
          <w:shd w:val="clear" w:color="auto" w:fill="FFFFFF"/>
        </w:rPr>
        <w:t>о включении процесса посреднического диалога в цикл номинации, Комитетом было рассмотрено одиннадцать (цикл 2020 года) и пятнадцать досье (цикл 2021 года), по которым был инициирован процесс диалога.</w:t>
      </w:r>
    </w:p>
    <w:p w14:paraId="522A85D3" w14:textId="406292C2" w:rsidR="00FB2F3D" w:rsidRPr="004F0698" w:rsidRDefault="00FB2F3D" w:rsidP="004F0698">
      <w:pPr>
        <w:pStyle w:val="Marge"/>
        <w:keepLines/>
        <w:numPr>
          <w:ilvl w:val="0"/>
          <w:numId w:val="25"/>
        </w:numPr>
        <w:tabs>
          <w:tab w:val="clear" w:pos="502"/>
          <w:tab w:val="num" w:pos="567"/>
        </w:tabs>
        <w:spacing w:after="120"/>
        <w:ind w:left="567" w:hanging="567"/>
      </w:pPr>
      <w:r w:rsidRPr="000263BB">
        <w:t xml:space="preserve">В ходе пятнадцатого и шестнадцатого заседаний (в отношении запросов на сумму более 100 000 долларов США) Комитетом и Президиумом (в отношении запросов на сумму до 100 000 долларов США и экстренных запросов) было утверждено в общей сложности пятнадцать из двадцати двух запросов о предоставлении международной помощи на общую сумму 1 659 443 доллара США за отчетный период (см. также документ </w:t>
      </w:r>
      <w:hyperlink r:id="rId42" w:history="1">
        <w:r w:rsidRPr="000263BB">
          <w:rPr>
            <w:rStyle w:val="Hyperlink"/>
          </w:rPr>
          <w:t>LHE/21/16.COM/7.d</w:t>
        </w:r>
      </w:hyperlink>
      <w:r w:rsidRPr="000263BB">
        <w:t xml:space="preserve"> в отношении доклада об использовании международной помощи государствами-участниками). В общей сложности за отчетный период финансовую помощь от Фонда получила тридцать одна страна.</w:t>
      </w:r>
    </w:p>
    <w:sectPr w:rsidR="00FB2F3D" w:rsidRPr="004F0698" w:rsidSect="00176720">
      <w:headerReference w:type="even" r:id="rId43"/>
      <w:headerReference w:type="default" r:id="rId44"/>
      <w:headerReference w:type="first" r:id="rId45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3194" w14:textId="77777777" w:rsidR="009304F1" w:rsidRDefault="009304F1" w:rsidP="00655736">
      <w:r>
        <w:separator/>
      </w:r>
    </w:p>
  </w:endnote>
  <w:endnote w:type="continuationSeparator" w:id="0">
    <w:p w14:paraId="0722E6C9" w14:textId="77777777" w:rsidR="009304F1" w:rsidRDefault="009304F1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FE63" w14:textId="77777777" w:rsidR="009304F1" w:rsidRDefault="009304F1" w:rsidP="00655736">
      <w:r>
        <w:separator/>
      </w:r>
    </w:p>
  </w:footnote>
  <w:footnote w:type="continuationSeparator" w:id="0">
    <w:p w14:paraId="7AEA1914" w14:textId="77777777" w:rsidR="009304F1" w:rsidRDefault="009304F1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D5F8" w14:textId="5820DA69" w:rsidR="00D95C4C" w:rsidRPr="00C23A97" w:rsidRDefault="006F41B4">
    <w:pPr>
      <w:pStyle w:val="Header"/>
      <w:rPr>
        <w:rFonts w:ascii="Arial" w:hAnsi="Arial" w:cs="Arial"/>
      </w:rPr>
    </w:pPr>
    <w:r>
      <w:rPr>
        <w:rFonts w:ascii="Arial" w:hAnsi="Arial"/>
        <w:sz w:val="20"/>
      </w:rPr>
      <w:t xml:space="preserve">LHE/22/9.GA/5 – страница </w:t>
    </w:r>
    <w:r w:rsidR="00D95C4C" w:rsidRPr="00C23A97">
      <w:rPr>
        <w:rStyle w:val="PageNumber"/>
        <w:rFonts w:ascii="Arial" w:hAnsi="Arial" w:cs="Arial"/>
        <w:sz w:val="20"/>
      </w:rPr>
      <w:fldChar w:fldCharType="begin"/>
    </w:r>
    <w:r w:rsidR="00D95C4C" w:rsidRPr="00C23A97">
      <w:rPr>
        <w:rStyle w:val="PageNumber"/>
        <w:rFonts w:ascii="Arial" w:hAnsi="Arial" w:cs="Arial"/>
        <w:sz w:val="20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</w:rPr>
      <w:fldChar w:fldCharType="separate"/>
    </w:r>
    <w:r w:rsidR="00FB2834">
      <w:rPr>
        <w:rStyle w:val="PageNumber"/>
        <w:rFonts w:ascii="Arial" w:hAnsi="Arial" w:cs="Arial"/>
        <w:noProof/>
        <w:sz w:val="20"/>
      </w:rPr>
      <w:t>2</w:t>
    </w:r>
    <w:r w:rsidR="00D95C4C" w:rsidRPr="00C23A97">
      <w:rPr>
        <w:rStyle w:val="PageNumber"/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E3C2" w14:textId="4E837CC8" w:rsidR="00D95C4C" w:rsidRPr="0063300C" w:rsidRDefault="00502D44" w:rsidP="0063300C">
    <w:pPr>
      <w:pStyle w:val="Header"/>
      <w:jc w:val="right"/>
      <w:rPr>
        <w:rFonts w:ascii="Arial" w:hAnsi="Arial" w:cs="Arial"/>
      </w:rPr>
    </w:pPr>
    <w:r>
      <w:rPr>
        <w:rFonts w:ascii="Arial" w:hAnsi="Arial"/>
        <w:sz w:val="20"/>
      </w:rPr>
      <w:t xml:space="preserve">LHE/22/9.GA/5 – страница </w:t>
    </w:r>
    <w:r w:rsidR="004A34A0" w:rsidRPr="0063300C">
      <w:rPr>
        <w:rStyle w:val="PageNumber"/>
        <w:rFonts w:ascii="Arial" w:hAnsi="Arial" w:cs="Arial"/>
        <w:sz w:val="20"/>
      </w:rPr>
      <w:fldChar w:fldCharType="begin"/>
    </w:r>
    <w:r w:rsidR="004A34A0" w:rsidRPr="0063300C">
      <w:rPr>
        <w:rStyle w:val="PageNumber"/>
        <w:rFonts w:ascii="Arial" w:hAnsi="Arial" w:cs="Arial"/>
        <w:sz w:val="20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</w:rPr>
      <w:fldChar w:fldCharType="separate"/>
    </w:r>
    <w:r w:rsidR="00FB2834">
      <w:rPr>
        <w:rStyle w:val="PageNumber"/>
        <w:rFonts w:ascii="Arial" w:hAnsi="Arial" w:cs="Arial"/>
        <w:noProof/>
        <w:sz w:val="20"/>
      </w:rPr>
      <w:t>3</w:t>
    </w:r>
    <w:r w:rsidR="004A34A0" w:rsidRPr="0063300C">
      <w:rPr>
        <w:rStyle w:val="PageNumber"/>
        <w:rFonts w:ascii="Arial" w:hAnsi="Arial" w:cs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532A" w14:textId="1D96946D" w:rsidR="00D95C4C" w:rsidRPr="008724E5" w:rsidRDefault="00215BC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8785751" wp14:editId="38E2B007">
          <wp:simplePos x="0" y="0"/>
          <wp:positionH relativeFrom="column">
            <wp:posOffset>3175</wp:posOffset>
          </wp:positionH>
          <wp:positionV relativeFrom="paragraph">
            <wp:posOffset>1905</wp:posOffset>
          </wp:positionV>
          <wp:extent cx="1677035" cy="1439545"/>
          <wp:effectExtent l="0" t="0" r="0" b="8255"/>
          <wp:wrapNone/>
          <wp:docPr id="2" name="Imag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7233C0" w14:textId="0080C653" w:rsidR="00D95C4C" w:rsidRPr="00D25762" w:rsidRDefault="003265D0" w:rsidP="00655736">
    <w:pPr>
      <w:pStyle w:val="Header"/>
      <w:spacing w:after="520"/>
      <w:jc w:val="right"/>
      <w:rPr>
        <w:rFonts w:ascii="Arial" w:hAnsi="Arial" w:cs="Arial"/>
        <w:b/>
        <w:sz w:val="44"/>
        <w:szCs w:val="44"/>
      </w:rPr>
    </w:pPr>
    <w:r>
      <w:rPr>
        <w:rFonts w:ascii="Arial" w:hAnsi="Arial"/>
        <w:b/>
        <w:sz w:val="44"/>
      </w:rPr>
      <w:t>9 GA</w:t>
    </w:r>
  </w:p>
  <w:p w14:paraId="2037F6C9" w14:textId="3D742F51" w:rsidR="00D95C4C" w:rsidRPr="00D25762" w:rsidRDefault="006F41B4" w:rsidP="00655736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>LHE/22/9.GA/5</w:t>
    </w:r>
  </w:p>
  <w:p w14:paraId="1E03530A" w14:textId="2045D71A" w:rsidR="00D95C4C" w:rsidRPr="00D25762" w:rsidRDefault="00D95C4C" w:rsidP="00655736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>Париж, 3 июня 2022 г.</w:t>
    </w:r>
  </w:p>
  <w:p w14:paraId="00956E32" w14:textId="08F8BF3D" w:rsidR="00D95C4C" w:rsidRDefault="00D95C4C" w:rsidP="00703FBF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>Оригинал: английский</w:t>
    </w:r>
  </w:p>
  <w:p w14:paraId="7FB1132E" w14:textId="77777777" w:rsidR="00540FE0" w:rsidRPr="00C23A97" w:rsidRDefault="00540FE0" w:rsidP="00540FE0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52DE94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E411C8"/>
    <w:multiLevelType w:val="hybridMultilevel"/>
    <w:tmpl w:val="AFC481B0"/>
    <w:lvl w:ilvl="0" w:tplc="CF1ACF6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807A4"/>
    <w:multiLevelType w:val="hybridMultilevel"/>
    <w:tmpl w:val="DC648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B35019"/>
    <w:multiLevelType w:val="multilevel"/>
    <w:tmpl w:val="BBCAB5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Arial" w:hAnsi="Arial" w:cs="Arial"/>
        <w:i w:val="0"/>
        <w:sz w:val="22"/>
        <w:szCs w:val="22"/>
        <w:lang w:val="en-GB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F07BFE"/>
    <w:multiLevelType w:val="hybridMultilevel"/>
    <w:tmpl w:val="E24AD55A"/>
    <w:lvl w:ilvl="0" w:tplc="76CAC304">
      <w:start w:val="1"/>
      <w:numFmt w:val="decimal"/>
      <w:pStyle w:val="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97A4DB1"/>
    <w:multiLevelType w:val="hybridMultilevel"/>
    <w:tmpl w:val="1F36D964"/>
    <w:lvl w:ilvl="0" w:tplc="918ACE6A">
      <w:start w:val="1"/>
      <w:numFmt w:val="decimal"/>
      <w:pStyle w:val="GAParaResolut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55155AE9"/>
    <w:multiLevelType w:val="hybridMultilevel"/>
    <w:tmpl w:val="DFE29FF2"/>
    <w:lvl w:ilvl="0" w:tplc="87983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E7254"/>
    <w:multiLevelType w:val="hybridMultilevel"/>
    <w:tmpl w:val="49909E62"/>
    <w:lvl w:ilvl="0" w:tplc="5FF6C1A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82F79"/>
    <w:multiLevelType w:val="hybridMultilevel"/>
    <w:tmpl w:val="EE7243B4"/>
    <w:lvl w:ilvl="0" w:tplc="4F7CBCD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8"/>
  </w:num>
  <w:num w:numId="5">
    <w:abstractNumId w:val="16"/>
  </w:num>
  <w:num w:numId="6">
    <w:abstractNumId w:val="3"/>
  </w:num>
  <w:num w:numId="7">
    <w:abstractNumId w:val="5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17"/>
  </w:num>
  <w:num w:numId="14">
    <w:abstractNumId w:val="13"/>
  </w:num>
  <w:num w:numId="15">
    <w:abstractNumId w:val="14"/>
  </w:num>
  <w:num w:numId="16">
    <w:abstractNumId w:val="9"/>
  </w:num>
  <w:num w:numId="17">
    <w:abstractNumId w:val="9"/>
  </w:num>
  <w:num w:numId="18">
    <w:abstractNumId w:val="9"/>
  </w:num>
  <w:num w:numId="19">
    <w:abstractNumId w:val="2"/>
  </w:num>
  <w:num w:numId="20">
    <w:abstractNumId w:val="9"/>
    <w:lvlOverride w:ilvl="0">
      <w:startOverride w:val="1"/>
    </w:lvlOverride>
  </w:num>
  <w:num w:numId="21">
    <w:abstractNumId w:val="6"/>
  </w:num>
  <w:num w:numId="22">
    <w:abstractNumId w:val="0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66"/>
    <w:rsid w:val="000048ED"/>
    <w:rsid w:val="00004F92"/>
    <w:rsid w:val="00016F17"/>
    <w:rsid w:val="000263BB"/>
    <w:rsid w:val="00037FA9"/>
    <w:rsid w:val="00041A66"/>
    <w:rsid w:val="00044AB6"/>
    <w:rsid w:val="0005176E"/>
    <w:rsid w:val="00072AEB"/>
    <w:rsid w:val="00073244"/>
    <w:rsid w:val="000765F7"/>
    <w:rsid w:val="00077AB7"/>
    <w:rsid w:val="00081CD8"/>
    <w:rsid w:val="000828DE"/>
    <w:rsid w:val="00092F00"/>
    <w:rsid w:val="00096B24"/>
    <w:rsid w:val="000A0AFA"/>
    <w:rsid w:val="000A4290"/>
    <w:rsid w:val="000A7F0E"/>
    <w:rsid w:val="000B12BF"/>
    <w:rsid w:val="000C0D61"/>
    <w:rsid w:val="000C1D3D"/>
    <w:rsid w:val="000C43F5"/>
    <w:rsid w:val="000C510A"/>
    <w:rsid w:val="000F033A"/>
    <w:rsid w:val="000F3A3F"/>
    <w:rsid w:val="00102557"/>
    <w:rsid w:val="001038BD"/>
    <w:rsid w:val="00113F23"/>
    <w:rsid w:val="00154062"/>
    <w:rsid w:val="00164D56"/>
    <w:rsid w:val="00167B10"/>
    <w:rsid w:val="0017402F"/>
    <w:rsid w:val="00176720"/>
    <w:rsid w:val="001821D5"/>
    <w:rsid w:val="00191ADC"/>
    <w:rsid w:val="00196C1B"/>
    <w:rsid w:val="001A1357"/>
    <w:rsid w:val="001B0F73"/>
    <w:rsid w:val="001C1212"/>
    <w:rsid w:val="001D5C04"/>
    <w:rsid w:val="001D7286"/>
    <w:rsid w:val="001E5B4E"/>
    <w:rsid w:val="001E63D2"/>
    <w:rsid w:val="001E6CD3"/>
    <w:rsid w:val="00207365"/>
    <w:rsid w:val="00210977"/>
    <w:rsid w:val="00215BC6"/>
    <w:rsid w:val="00222A2D"/>
    <w:rsid w:val="00223029"/>
    <w:rsid w:val="002268F1"/>
    <w:rsid w:val="00234745"/>
    <w:rsid w:val="002407AF"/>
    <w:rsid w:val="00255245"/>
    <w:rsid w:val="00255495"/>
    <w:rsid w:val="00263D25"/>
    <w:rsid w:val="0029615C"/>
    <w:rsid w:val="002A327C"/>
    <w:rsid w:val="002C09E3"/>
    <w:rsid w:val="002C611D"/>
    <w:rsid w:val="002C6335"/>
    <w:rsid w:val="002D2D45"/>
    <w:rsid w:val="002F312A"/>
    <w:rsid w:val="00323A5D"/>
    <w:rsid w:val="003249D3"/>
    <w:rsid w:val="003265D0"/>
    <w:rsid w:val="00337599"/>
    <w:rsid w:val="00345CB4"/>
    <w:rsid w:val="00347B63"/>
    <w:rsid w:val="003549B8"/>
    <w:rsid w:val="00361BE2"/>
    <w:rsid w:val="00372BD3"/>
    <w:rsid w:val="0037685F"/>
    <w:rsid w:val="00382665"/>
    <w:rsid w:val="00384D38"/>
    <w:rsid w:val="003A4BBE"/>
    <w:rsid w:val="003B48BE"/>
    <w:rsid w:val="003C38F0"/>
    <w:rsid w:val="003D069C"/>
    <w:rsid w:val="003D7646"/>
    <w:rsid w:val="003E6EDB"/>
    <w:rsid w:val="003E7D64"/>
    <w:rsid w:val="003F113A"/>
    <w:rsid w:val="00404216"/>
    <w:rsid w:val="00414643"/>
    <w:rsid w:val="0042151D"/>
    <w:rsid w:val="00425AE0"/>
    <w:rsid w:val="004332A4"/>
    <w:rsid w:val="004421E5"/>
    <w:rsid w:val="00452284"/>
    <w:rsid w:val="004856CA"/>
    <w:rsid w:val="00490060"/>
    <w:rsid w:val="00491CF8"/>
    <w:rsid w:val="0049705E"/>
    <w:rsid w:val="004A34A0"/>
    <w:rsid w:val="004B317E"/>
    <w:rsid w:val="004B5F45"/>
    <w:rsid w:val="004E2450"/>
    <w:rsid w:val="004E254B"/>
    <w:rsid w:val="004F0698"/>
    <w:rsid w:val="00502D44"/>
    <w:rsid w:val="00504AF7"/>
    <w:rsid w:val="00526B7B"/>
    <w:rsid w:val="005308CE"/>
    <w:rsid w:val="00533F1A"/>
    <w:rsid w:val="00540FE0"/>
    <w:rsid w:val="00552817"/>
    <w:rsid w:val="00555D82"/>
    <w:rsid w:val="005576DA"/>
    <w:rsid w:val="0057439C"/>
    <w:rsid w:val="0057559C"/>
    <w:rsid w:val="005869F6"/>
    <w:rsid w:val="005B0127"/>
    <w:rsid w:val="005B6C5E"/>
    <w:rsid w:val="005B7A35"/>
    <w:rsid w:val="005C4B73"/>
    <w:rsid w:val="005D20BE"/>
    <w:rsid w:val="005E1D2B"/>
    <w:rsid w:val="005F29EC"/>
    <w:rsid w:val="00600D93"/>
    <w:rsid w:val="0060385E"/>
    <w:rsid w:val="00626FF2"/>
    <w:rsid w:val="0063300C"/>
    <w:rsid w:val="00637DD3"/>
    <w:rsid w:val="00642723"/>
    <w:rsid w:val="00655736"/>
    <w:rsid w:val="00663B8D"/>
    <w:rsid w:val="00696C8D"/>
    <w:rsid w:val="006A2AC2"/>
    <w:rsid w:val="006A3617"/>
    <w:rsid w:val="006E0AA6"/>
    <w:rsid w:val="006E46E4"/>
    <w:rsid w:val="006E66EA"/>
    <w:rsid w:val="006F15BA"/>
    <w:rsid w:val="006F2700"/>
    <w:rsid w:val="006F41B4"/>
    <w:rsid w:val="00703FBF"/>
    <w:rsid w:val="00717DA5"/>
    <w:rsid w:val="00722693"/>
    <w:rsid w:val="00726A04"/>
    <w:rsid w:val="00735558"/>
    <w:rsid w:val="00737D37"/>
    <w:rsid w:val="00744484"/>
    <w:rsid w:val="00763A0D"/>
    <w:rsid w:val="00772E6C"/>
    <w:rsid w:val="00772E92"/>
    <w:rsid w:val="00773188"/>
    <w:rsid w:val="00773A31"/>
    <w:rsid w:val="00780894"/>
    <w:rsid w:val="00783782"/>
    <w:rsid w:val="00784B8C"/>
    <w:rsid w:val="007931F6"/>
    <w:rsid w:val="007A6B76"/>
    <w:rsid w:val="00800103"/>
    <w:rsid w:val="00823A11"/>
    <w:rsid w:val="008523A1"/>
    <w:rsid w:val="00852866"/>
    <w:rsid w:val="00852BC6"/>
    <w:rsid w:val="0085414A"/>
    <w:rsid w:val="0086269D"/>
    <w:rsid w:val="0086543A"/>
    <w:rsid w:val="008724E5"/>
    <w:rsid w:val="0088159E"/>
    <w:rsid w:val="00884A9D"/>
    <w:rsid w:val="0088512B"/>
    <w:rsid w:val="008916C1"/>
    <w:rsid w:val="008948AA"/>
    <w:rsid w:val="008A0B88"/>
    <w:rsid w:val="008A130E"/>
    <w:rsid w:val="008A1ED4"/>
    <w:rsid w:val="008A2B2D"/>
    <w:rsid w:val="008A4E1E"/>
    <w:rsid w:val="008C0DE9"/>
    <w:rsid w:val="008C296C"/>
    <w:rsid w:val="008D4305"/>
    <w:rsid w:val="008D79D6"/>
    <w:rsid w:val="008E431B"/>
    <w:rsid w:val="008F3D2A"/>
    <w:rsid w:val="008F4F95"/>
    <w:rsid w:val="008F7E58"/>
    <w:rsid w:val="00902040"/>
    <w:rsid w:val="009163A7"/>
    <w:rsid w:val="009176FB"/>
    <w:rsid w:val="009304F1"/>
    <w:rsid w:val="009364FC"/>
    <w:rsid w:val="00946D0B"/>
    <w:rsid w:val="00964597"/>
    <w:rsid w:val="00965426"/>
    <w:rsid w:val="009654B1"/>
    <w:rsid w:val="00965892"/>
    <w:rsid w:val="00967F19"/>
    <w:rsid w:val="00981033"/>
    <w:rsid w:val="00993C52"/>
    <w:rsid w:val="0099717B"/>
    <w:rsid w:val="009A18CD"/>
    <w:rsid w:val="009A265C"/>
    <w:rsid w:val="009F0EEF"/>
    <w:rsid w:val="00A00839"/>
    <w:rsid w:val="00A12558"/>
    <w:rsid w:val="00A13903"/>
    <w:rsid w:val="00A262DB"/>
    <w:rsid w:val="00A34ED5"/>
    <w:rsid w:val="00A40744"/>
    <w:rsid w:val="00A45DBF"/>
    <w:rsid w:val="00A52F26"/>
    <w:rsid w:val="00A645DF"/>
    <w:rsid w:val="00A65C29"/>
    <w:rsid w:val="00A755A2"/>
    <w:rsid w:val="00A7749E"/>
    <w:rsid w:val="00A90BD8"/>
    <w:rsid w:val="00A9639D"/>
    <w:rsid w:val="00AA6660"/>
    <w:rsid w:val="00AB2C36"/>
    <w:rsid w:val="00AB6F2A"/>
    <w:rsid w:val="00AB70B6"/>
    <w:rsid w:val="00AD1A86"/>
    <w:rsid w:val="00AD7ACA"/>
    <w:rsid w:val="00AE103E"/>
    <w:rsid w:val="00AF0A07"/>
    <w:rsid w:val="00AF4AEC"/>
    <w:rsid w:val="00AF625E"/>
    <w:rsid w:val="00B6182F"/>
    <w:rsid w:val="00B6337F"/>
    <w:rsid w:val="00B71177"/>
    <w:rsid w:val="00B96B09"/>
    <w:rsid w:val="00BA49AC"/>
    <w:rsid w:val="00BB04AF"/>
    <w:rsid w:val="00BB289D"/>
    <w:rsid w:val="00BC6D90"/>
    <w:rsid w:val="00BD52C9"/>
    <w:rsid w:val="00BE6354"/>
    <w:rsid w:val="00BE6900"/>
    <w:rsid w:val="00BF4FAA"/>
    <w:rsid w:val="00C07BB0"/>
    <w:rsid w:val="00C23A97"/>
    <w:rsid w:val="00C42C66"/>
    <w:rsid w:val="00C53155"/>
    <w:rsid w:val="00C537F5"/>
    <w:rsid w:val="00C608F9"/>
    <w:rsid w:val="00C62BAC"/>
    <w:rsid w:val="00C70EA7"/>
    <w:rsid w:val="00C73D97"/>
    <w:rsid w:val="00C7516E"/>
    <w:rsid w:val="00C75770"/>
    <w:rsid w:val="00C76F8C"/>
    <w:rsid w:val="00C8247B"/>
    <w:rsid w:val="00C84CF7"/>
    <w:rsid w:val="00C858FD"/>
    <w:rsid w:val="00C90060"/>
    <w:rsid w:val="00CB604B"/>
    <w:rsid w:val="00CC0776"/>
    <w:rsid w:val="00D00B2B"/>
    <w:rsid w:val="00D11D00"/>
    <w:rsid w:val="00D12B44"/>
    <w:rsid w:val="00D24877"/>
    <w:rsid w:val="00D25762"/>
    <w:rsid w:val="00D95C4C"/>
    <w:rsid w:val="00DA36ED"/>
    <w:rsid w:val="00DD03E7"/>
    <w:rsid w:val="00DE34F1"/>
    <w:rsid w:val="00DF1B2B"/>
    <w:rsid w:val="00DF4942"/>
    <w:rsid w:val="00E0214B"/>
    <w:rsid w:val="00E4245C"/>
    <w:rsid w:val="00E52905"/>
    <w:rsid w:val="00E627B1"/>
    <w:rsid w:val="00E9376C"/>
    <w:rsid w:val="00EA0B23"/>
    <w:rsid w:val="00EA335E"/>
    <w:rsid w:val="00EA528C"/>
    <w:rsid w:val="00EE3CCC"/>
    <w:rsid w:val="00EE5FB2"/>
    <w:rsid w:val="00EF19A6"/>
    <w:rsid w:val="00EF34E2"/>
    <w:rsid w:val="00EF4F1F"/>
    <w:rsid w:val="00EF5E2F"/>
    <w:rsid w:val="00EF69E3"/>
    <w:rsid w:val="00F010E0"/>
    <w:rsid w:val="00F04A51"/>
    <w:rsid w:val="00F12EB7"/>
    <w:rsid w:val="00F33590"/>
    <w:rsid w:val="00F34F78"/>
    <w:rsid w:val="00F42C0C"/>
    <w:rsid w:val="00F44CC2"/>
    <w:rsid w:val="00F46262"/>
    <w:rsid w:val="00F47545"/>
    <w:rsid w:val="00F53DE9"/>
    <w:rsid w:val="00F576CB"/>
    <w:rsid w:val="00F71A02"/>
    <w:rsid w:val="00F80BBC"/>
    <w:rsid w:val="00F82B8B"/>
    <w:rsid w:val="00F93397"/>
    <w:rsid w:val="00FB2834"/>
    <w:rsid w:val="00FB2F3D"/>
    <w:rsid w:val="00FB6630"/>
    <w:rsid w:val="00FC092B"/>
    <w:rsid w:val="00FC2E18"/>
    <w:rsid w:val="00FD1226"/>
    <w:rsid w:val="00FD6346"/>
    <w:rsid w:val="00FE7DD9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CAA34B"/>
  <w15:docId w15:val="{71296E5D-8BDD-4C42-81E0-A5DB0EDF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ru-RU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GAPara">
    <w:name w:val="GA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GATitleResolution">
    <w:name w:val="GA Title Resolut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GAPreambulaResolution">
    <w:name w:val="GA Preambula Resolution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GAParaResolution">
    <w:name w:val="GA Para Resolut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jc w:val="both"/>
    </w:pPr>
    <w:rPr>
      <w:rFonts w:ascii="Arial" w:eastAsia="SimSun" w:hAnsi="Arial" w:cs="Arial"/>
      <w:sz w:val="22"/>
      <w:szCs w:val="22"/>
      <w:u w:val="single"/>
    </w:rPr>
  </w:style>
  <w:style w:type="paragraph" w:styleId="ListParagraph">
    <w:name w:val="List Paragraph"/>
    <w:aliases w:val="List Paragraph (numbered (a)),Lapis Bulleted List,Dot pt,F5 List Paragraph,List Paragraph Char Char Char,Indicator Text,Numbered Para 1,Bullet 1,List Paragraph12,Bullet Points,MAIN CONTENT,List Paragraph1"/>
    <w:basedOn w:val="Normal"/>
    <w:link w:val="ListParagraphChar"/>
    <w:uiPriority w:val="34"/>
    <w:qFormat/>
    <w:rsid w:val="002F312A"/>
    <w:pPr>
      <w:ind w:left="720"/>
      <w:contextualSpacing/>
    </w:pPr>
  </w:style>
  <w:style w:type="paragraph" w:customStyle="1" w:styleId="COMParaDecision">
    <w:name w:val="COM Para Decision"/>
    <w:basedOn w:val="Normal"/>
    <w:uiPriority w:val="99"/>
    <w:qFormat/>
    <w:rsid w:val="008A1ED4"/>
    <w:p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</w:rPr>
  </w:style>
  <w:style w:type="table" w:customStyle="1" w:styleId="TableGrid1">
    <w:name w:val="Table Grid1"/>
    <w:basedOn w:val="TableNormal"/>
    <w:uiPriority w:val="59"/>
    <w:rsid w:val="00191ADC"/>
    <w:rPr>
      <w:lang w:eastAsia="fr-F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268F1"/>
    <w:rPr>
      <w:color w:val="0000FF"/>
      <w:u w:val="single"/>
    </w:rPr>
  </w:style>
  <w:style w:type="character" w:styleId="FootnoteReference">
    <w:name w:val="footnote reference"/>
    <w:uiPriority w:val="99"/>
    <w:unhideWhenUsed/>
    <w:rsid w:val="002268F1"/>
    <w:rPr>
      <w:vertAlign w:val="superscript"/>
    </w:rPr>
  </w:style>
  <w:style w:type="paragraph" w:customStyle="1" w:styleId="5GAParaResolution">
    <w:name w:val="5GA Para Resolution"/>
    <w:basedOn w:val="Normal"/>
    <w:qFormat/>
    <w:rsid w:val="002268F1"/>
    <w:p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D79D6"/>
    <w:rPr>
      <w:color w:val="954F72" w:themeColor="followedHyperlink"/>
      <w:u w:val="single"/>
    </w:rPr>
  </w:style>
  <w:style w:type="character" w:customStyle="1" w:styleId="hps">
    <w:name w:val="hps"/>
    <w:rsid w:val="00F44CC2"/>
  </w:style>
  <w:style w:type="character" w:styleId="CommentReference">
    <w:name w:val="annotation reference"/>
    <w:basedOn w:val="DefaultParagraphFont"/>
    <w:uiPriority w:val="99"/>
    <w:semiHidden/>
    <w:unhideWhenUsed/>
    <w:rsid w:val="00F44CC2"/>
    <w:rPr>
      <w:sz w:val="16"/>
      <w:szCs w:val="16"/>
    </w:rPr>
  </w:style>
  <w:style w:type="character" w:customStyle="1" w:styleId="ListParagraphChar">
    <w:name w:val="List Paragraph Char"/>
    <w:aliases w:val="List Paragraph (numbered (a)) Char,Lapis Bulleted List Char,Dot pt Char,F5 List Paragraph Char,List Paragraph Char Char Char Char,Indicator Text Char,Numbered Para 1 Char,Bullet 1 Char,List Paragraph12 Char,Bullet Points Char"/>
    <w:link w:val="ListParagraph"/>
    <w:uiPriority w:val="34"/>
    <w:locked/>
    <w:rsid w:val="00F44CC2"/>
    <w:rPr>
      <w:rFonts w:ascii="Times New Roman" w:eastAsia="Times New Roman" w:hAnsi="Times New Roman"/>
      <w:sz w:val="24"/>
      <w:szCs w:val="24"/>
      <w:lang w:val="ru-RU" w:eastAsia="fr-FR"/>
    </w:rPr>
  </w:style>
  <w:style w:type="character" w:customStyle="1" w:styleId="MargeChar">
    <w:name w:val="Marge Char"/>
    <w:link w:val="Marge"/>
    <w:rsid w:val="00F44CC2"/>
    <w:rPr>
      <w:rFonts w:ascii="Arial" w:eastAsia="Times New Roman" w:hAnsi="Arial"/>
      <w:snapToGrid w:val="0"/>
      <w:sz w:val="22"/>
      <w:szCs w:val="24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74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839"/>
    <w:rPr>
      <w:rFonts w:ascii="Times New Roman" w:eastAsia="Times New Roman" w:hAnsi="Times New Roman"/>
      <w:lang w:val="ru-RU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39"/>
    <w:rPr>
      <w:rFonts w:ascii="Times New Roman" w:eastAsia="Times New Roman" w:hAnsi="Times New Roman"/>
      <w:b/>
      <w:bCs/>
      <w:lang w:val="ru-RU" w:eastAsia="fr-FR"/>
    </w:rPr>
  </w:style>
  <w:style w:type="paragraph" w:styleId="Revision">
    <w:name w:val="Revision"/>
    <w:hidden/>
    <w:uiPriority w:val="99"/>
    <w:semiHidden/>
    <w:rsid w:val="00C07BB0"/>
    <w:rPr>
      <w:rFonts w:ascii="Times New Roman" w:eastAsia="Times New Roman" w:hAnsi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113F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A1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ecisions/6.GA/5" TargetMode="External"/><Relationship Id="rId13" Type="http://schemas.openxmlformats.org/officeDocument/2006/relationships/hyperlink" Target="https://ich.unesco.org/en/Decisions/8.GA/7" TargetMode="External"/><Relationship Id="rId18" Type="http://schemas.openxmlformats.org/officeDocument/2006/relationships/hyperlink" Target="https://ich.unesco.org/en/Decisions/16.COM/5.b" TargetMode="External"/><Relationship Id="rId26" Type="http://schemas.openxmlformats.org/officeDocument/2006/relationships/hyperlink" Target="https://ich.unesco.org/doc/src/LHE-21-16.COM-13-EN.docx" TargetMode="External"/><Relationship Id="rId39" Type="http://schemas.openxmlformats.org/officeDocument/2006/relationships/hyperlink" Target="https://ich.unesco.org/en/Decisions/16.COM/7.b" TargetMode="External"/><Relationship Id="rId3" Type="http://schemas.openxmlformats.org/officeDocument/2006/relationships/styles" Target="styles.xml"/><Relationship Id="rId21" Type="http://schemas.openxmlformats.org/officeDocument/2006/relationships/hyperlink" Target="https://ich.unesco.org/en/Decisions/14.COM/15" TargetMode="External"/><Relationship Id="rId34" Type="http://schemas.openxmlformats.org/officeDocument/2006/relationships/hyperlink" Target="https://ich.unesco.org/doc/src/LHE-21-16.COM-7.a--EN.docx" TargetMode="External"/><Relationship Id="rId42" Type="http://schemas.openxmlformats.org/officeDocument/2006/relationships/hyperlink" Target="https://ich.unesco.org/doc/src/LHE-21-16.COM-7.d-EN.docx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ch.unesco.org/doc/src/LHE-21-16.COM-5.b-EN.docx" TargetMode="External"/><Relationship Id="rId17" Type="http://schemas.openxmlformats.org/officeDocument/2006/relationships/hyperlink" Target="https://ich.unesco.org/en/Decisions/16.COM/10" TargetMode="External"/><Relationship Id="rId25" Type="http://schemas.openxmlformats.org/officeDocument/2006/relationships/hyperlink" Target="https://ich.unesco.org/en/Decisions/14.COM/7" TargetMode="External"/><Relationship Id="rId33" Type="http://schemas.openxmlformats.org/officeDocument/2006/relationships/hyperlink" Target="https://ich.unesco.org/doc/src/LHE-20-15.COM-7-EN.docx" TargetMode="External"/><Relationship Id="rId38" Type="http://schemas.openxmlformats.org/officeDocument/2006/relationships/hyperlink" Target="https://ich.unesco.org/doc/src/LHE-21-16.COM-7.b-EN.docx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ch.unesco.org/en/Decisions/16.COM/14" TargetMode="External"/><Relationship Id="rId20" Type="http://schemas.openxmlformats.org/officeDocument/2006/relationships/hyperlink" Target="https://ich.unesco.org/dive/sdg/" TargetMode="External"/><Relationship Id="rId29" Type="http://schemas.openxmlformats.org/officeDocument/2006/relationships/hyperlink" Target="https://ich.unesco.org/doc/src/LHE-22-9.GA-INF.10-EN.docx" TargetMode="External"/><Relationship Id="rId41" Type="http://schemas.openxmlformats.org/officeDocument/2006/relationships/hyperlink" Target="https://ich.unesco.org/doc/src/LHE-21-16.COM_5.a_Letter-E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doc/src/LHE-20-8.GA-6+Add.-RU.docx" TargetMode="External"/><Relationship Id="rId24" Type="http://schemas.openxmlformats.org/officeDocument/2006/relationships/hyperlink" Target="https://ich.unesco.org/en/Decisions/16.COM/13" TargetMode="External"/><Relationship Id="rId32" Type="http://schemas.openxmlformats.org/officeDocument/2006/relationships/hyperlink" Target="https://ich.unesco.org/en/7a-periodic-reporting-usl-01202" TargetMode="External"/><Relationship Id="rId37" Type="http://schemas.openxmlformats.org/officeDocument/2006/relationships/hyperlink" Target="https://ich.unesco.org/en/7b-periodic-reporting-rl-01205" TargetMode="External"/><Relationship Id="rId40" Type="http://schemas.openxmlformats.org/officeDocument/2006/relationships/hyperlink" Target="https://ich.unesco.org/en/16com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ich.unesco.org/doc/src/LHE-21-16.COM-14-EN.docx" TargetMode="External"/><Relationship Id="rId23" Type="http://schemas.openxmlformats.org/officeDocument/2006/relationships/hyperlink" Target="https://ich.unesco.org/en/Decisions/16.COM/9" TargetMode="External"/><Relationship Id="rId28" Type="http://schemas.openxmlformats.org/officeDocument/2006/relationships/hyperlink" Target="https://ich.unesco.org/en/Decisions/16.COM/12" TargetMode="External"/><Relationship Id="rId36" Type="http://schemas.openxmlformats.org/officeDocument/2006/relationships/hyperlink" Target="https://ich.unesco.org/en/Decisions/16.COM/7.a" TargetMode="External"/><Relationship Id="rId10" Type="http://schemas.openxmlformats.org/officeDocument/2006/relationships/hyperlink" Target="https://ich.unesco.org/doc/src/LHE-22-9.GA-INF.10-EN.docx" TargetMode="External"/><Relationship Id="rId19" Type="http://schemas.openxmlformats.org/officeDocument/2006/relationships/hyperlink" Target="https://ich.unesco.org/en/dive/" TargetMode="External"/><Relationship Id="rId31" Type="http://schemas.openxmlformats.org/officeDocument/2006/relationships/hyperlink" Target="https://ich.unesco.org/en/7-periodic-reporting-usl-01144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ch.unesco.org/doc/src/LHE-22-9.GA-6-RU.docx" TargetMode="External"/><Relationship Id="rId14" Type="http://schemas.openxmlformats.org/officeDocument/2006/relationships/hyperlink" Target="https://ich.unesco.org/en/decisions/12.COM/14" TargetMode="External"/><Relationship Id="rId22" Type="http://schemas.openxmlformats.org/officeDocument/2006/relationships/hyperlink" Target="https://ich.unesco.org/en/Decisions/15.COM/6" TargetMode="External"/><Relationship Id="rId27" Type="http://schemas.openxmlformats.org/officeDocument/2006/relationships/hyperlink" Target="https://ich.unesco.org/en/Decisions/12.COM/6" TargetMode="External"/><Relationship Id="rId30" Type="http://schemas.openxmlformats.org/officeDocument/2006/relationships/hyperlink" Target="https://ich.unesco.org/en/Decisions/16.COM/14" TargetMode="External"/><Relationship Id="rId35" Type="http://schemas.openxmlformats.org/officeDocument/2006/relationships/hyperlink" Target="https://ich.unesco.org/en/Decisions/15.COM/7" TargetMode="External"/><Relationship Id="rId43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4_STATUTORY%20MEETINGS\2014-06_5GA_PARIS\Documents%205.GA\00_Templates\GA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CD58-711B-4427-9F3E-5BFC664F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GA_Working document_EN.dotx</Template>
  <TotalTime>19</TotalTime>
  <Pages>9</Pages>
  <Words>3647</Words>
  <Characters>20789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Eunkyung</dc:creator>
  <cp:keywords/>
  <cp:lastModifiedBy>Nakata, Julien</cp:lastModifiedBy>
  <cp:revision>30</cp:revision>
  <cp:lastPrinted>2022-05-16T16:40:00Z</cp:lastPrinted>
  <dcterms:created xsi:type="dcterms:W3CDTF">2022-06-03T16:54:00Z</dcterms:created>
  <dcterms:modified xsi:type="dcterms:W3CDTF">2022-06-03T19:55:00Z</dcterms:modified>
</cp:coreProperties>
</file>