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3CCA3" w14:textId="6365D718" w:rsidR="00655736" w:rsidRPr="000E2BAB" w:rsidRDefault="001411E3" w:rsidP="00655736">
      <w:pPr>
        <w:spacing w:before="144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0E2BAB">
        <w:rPr>
          <w:rFonts w:ascii="Arial" w:hAnsi="Arial" w:cs="Arial"/>
          <w:b/>
          <w:sz w:val="22"/>
          <w:szCs w:val="22"/>
          <w:lang w:val="ru-RU"/>
        </w:rPr>
        <w:t xml:space="preserve">КОНВЕНЦИЯ ОБ ОХРАНЕ </w:t>
      </w:r>
      <w:r w:rsidR="004679DE" w:rsidRPr="000E2BAB">
        <w:rPr>
          <w:rFonts w:ascii="Arial" w:hAnsi="Arial" w:cs="Arial"/>
          <w:b/>
          <w:sz w:val="22"/>
          <w:szCs w:val="22"/>
          <w:lang w:val="ru-RU"/>
        </w:rPr>
        <w:br/>
      </w:r>
      <w:r w:rsidRPr="000E2BAB">
        <w:rPr>
          <w:rFonts w:ascii="Arial" w:hAnsi="Arial" w:cs="Arial"/>
          <w:b/>
          <w:sz w:val="22"/>
          <w:szCs w:val="22"/>
          <w:lang w:val="ru-RU"/>
        </w:rPr>
        <w:t>НЕМАТЕРИАЛЬНОГО КУЛЬТУРНОГО НАСЛЕДИЯ</w:t>
      </w:r>
    </w:p>
    <w:p w14:paraId="7D4E4E72" w14:textId="08275A96" w:rsidR="00655736" w:rsidRPr="000E2BAB" w:rsidRDefault="001411E3" w:rsidP="00655736">
      <w:pPr>
        <w:spacing w:before="120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0E2BAB">
        <w:rPr>
          <w:rFonts w:ascii="Arial" w:hAnsi="Arial" w:cs="Arial"/>
          <w:b/>
          <w:sz w:val="22"/>
          <w:szCs w:val="22"/>
          <w:lang w:val="ru-RU"/>
        </w:rPr>
        <w:t>ГЕНЕРАЛЬНАЯ АССАМБЛЕЯ ГОСУДАРСТВ – УЧАСТНИКОВ КОНВЕНЦИИ</w:t>
      </w:r>
    </w:p>
    <w:p w14:paraId="40246553" w14:textId="499DFB7C" w:rsidR="00D95C4C" w:rsidRPr="000E2BAB" w:rsidRDefault="00DE6CE6" w:rsidP="00D95C4C">
      <w:pPr>
        <w:spacing w:before="84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0E2BAB">
        <w:rPr>
          <w:rFonts w:ascii="Arial" w:hAnsi="Arial" w:cs="Arial"/>
          <w:b/>
          <w:sz w:val="22"/>
          <w:szCs w:val="22"/>
          <w:lang w:val="ru-RU"/>
        </w:rPr>
        <w:t>Девят</w:t>
      </w:r>
      <w:r w:rsidR="001411E3" w:rsidRPr="000E2BAB">
        <w:rPr>
          <w:rFonts w:ascii="Arial" w:hAnsi="Arial" w:cs="Arial"/>
          <w:b/>
          <w:sz w:val="22"/>
          <w:szCs w:val="22"/>
          <w:lang w:val="ru-RU"/>
        </w:rPr>
        <w:t>ая сессия</w:t>
      </w:r>
    </w:p>
    <w:p w14:paraId="4F4FE902" w14:textId="72B4D267" w:rsidR="00D95C4C" w:rsidRPr="000E2BAB" w:rsidRDefault="001411E3" w:rsidP="00D95C4C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0E2BAB">
        <w:rPr>
          <w:rFonts w:ascii="Arial" w:hAnsi="Arial" w:cs="Arial"/>
          <w:b/>
          <w:sz w:val="22"/>
          <w:szCs w:val="22"/>
          <w:lang w:val="ru-RU"/>
        </w:rPr>
        <w:t>Штаб-квартира ЮНЕСКО</w:t>
      </w:r>
      <w:r w:rsidR="00D95C4C" w:rsidRPr="000E2BAB">
        <w:rPr>
          <w:rFonts w:ascii="Arial" w:hAnsi="Arial" w:cs="Arial"/>
          <w:b/>
          <w:sz w:val="22"/>
          <w:szCs w:val="22"/>
          <w:lang w:val="ru-RU"/>
        </w:rPr>
        <w:t xml:space="preserve">, </w:t>
      </w:r>
      <w:r w:rsidRPr="000E2BAB">
        <w:rPr>
          <w:rFonts w:ascii="Arial" w:hAnsi="Arial" w:cs="Arial"/>
          <w:b/>
          <w:sz w:val="22"/>
          <w:szCs w:val="22"/>
          <w:lang w:val="ru-RU"/>
        </w:rPr>
        <w:t>зал</w:t>
      </w:r>
      <w:r w:rsidR="007A0CFF" w:rsidRPr="000E2BAB">
        <w:rPr>
          <w:rFonts w:ascii="Arial" w:hAnsi="Arial" w:cs="Arial"/>
          <w:b/>
          <w:sz w:val="22"/>
          <w:szCs w:val="22"/>
          <w:lang w:val="ru-RU"/>
        </w:rPr>
        <w:t xml:space="preserve"> I</w:t>
      </w:r>
    </w:p>
    <w:p w14:paraId="47AAD2FC" w14:textId="4E2B4D72" w:rsidR="00655736" w:rsidRPr="000E2BAB" w:rsidRDefault="00DE6CE6" w:rsidP="001411E3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proofErr w:type="gramStart"/>
      <w:r w:rsidRPr="000E2BAB">
        <w:rPr>
          <w:rFonts w:ascii="Arial" w:hAnsi="Arial" w:cs="Arial"/>
          <w:b/>
          <w:sz w:val="22"/>
          <w:szCs w:val="22"/>
          <w:lang w:val="ru-RU"/>
        </w:rPr>
        <w:t>5</w:t>
      </w:r>
      <w:r w:rsidR="00903BBB" w:rsidRPr="000E2BAB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1411E3" w:rsidRPr="000E2BAB">
        <w:rPr>
          <w:rFonts w:ascii="Arial" w:hAnsi="Arial" w:cs="Arial"/>
          <w:b/>
          <w:sz w:val="22"/>
          <w:szCs w:val="22"/>
          <w:lang w:val="ru-RU"/>
        </w:rPr>
        <w:t>–</w:t>
      </w:r>
      <w:r w:rsidR="00903BBB" w:rsidRPr="000E2BAB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0E2BAB">
        <w:rPr>
          <w:rFonts w:ascii="Arial" w:hAnsi="Arial" w:cs="Arial"/>
          <w:b/>
          <w:sz w:val="22"/>
          <w:szCs w:val="22"/>
          <w:lang w:val="ru-RU"/>
        </w:rPr>
        <w:t>7</w:t>
      </w:r>
      <w:proofErr w:type="gramEnd"/>
      <w:r w:rsidR="00B854C6" w:rsidRPr="000E2BAB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9013F3" w:rsidRPr="000E2BAB">
        <w:rPr>
          <w:rFonts w:ascii="Arial" w:hAnsi="Arial" w:cs="Arial"/>
          <w:b/>
          <w:sz w:val="22"/>
          <w:szCs w:val="22"/>
          <w:lang w:val="ru-RU"/>
        </w:rPr>
        <w:t>июля</w:t>
      </w:r>
      <w:r w:rsidRPr="000E2BAB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236980" w:rsidRPr="000E2BAB">
        <w:rPr>
          <w:rFonts w:ascii="Arial" w:hAnsi="Arial" w:cs="Arial"/>
          <w:b/>
          <w:sz w:val="22"/>
          <w:szCs w:val="22"/>
          <w:lang w:val="ru-RU"/>
        </w:rPr>
        <w:t>202</w:t>
      </w:r>
      <w:r w:rsidR="00245ED3" w:rsidRPr="000E2BAB">
        <w:rPr>
          <w:rFonts w:ascii="Arial" w:hAnsi="Arial" w:cs="Arial"/>
          <w:b/>
          <w:sz w:val="22"/>
          <w:szCs w:val="22"/>
          <w:lang w:val="ru-RU"/>
        </w:rPr>
        <w:t>2</w:t>
      </w:r>
      <w:r w:rsidR="001411E3" w:rsidRPr="000E2BAB">
        <w:rPr>
          <w:rFonts w:ascii="Arial" w:hAnsi="Arial" w:cs="Arial"/>
          <w:b/>
          <w:sz w:val="22"/>
          <w:szCs w:val="22"/>
          <w:lang w:val="ru-RU"/>
        </w:rPr>
        <w:t> г.</w:t>
      </w:r>
    </w:p>
    <w:tbl>
      <w:tblPr>
        <w:tblpPr w:leftFromText="180" w:rightFromText="180" w:vertAnchor="text" w:horzAnchor="margin" w:tblpXSpec="center" w:tblpY="2126"/>
        <w:tblW w:w="6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8"/>
      </w:tblGrid>
      <w:tr w:rsidR="00DE6CE6" w:rsidRPr="000E2BAB" w14:paraId="3E1E1AEB" w14:textId="77777777" w:rsidTr="00901C17">
        <w:trPr>
          <w:trHeight w:val="3781"/>
        </w:trPr>
        <w:tc>
          <w:tcPr>
            <w:tcW w:w="6118" w:type="dxa"/>
            <w:vAlign w:val="center"/>
          </w:tcPr>
          <w:p w14:paraId="04D4A605" w14:textId="77777777" w:rsidR="00DE6CE6" w:rsidRPr="000E2BAB" w:rsidRDefault="00DE6CE6" w:rsidP="00DE6CE6">
            <w:pPr>
              <w:pStyle w:val="Sansinterligne1"/>
              <w:spacing w:before="200" w:after="200"/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0E2BAB">
              <w:rPr>
                <w:rFonts w:ascii="Arial" w:hAnsi="Arial" w:cs="Arial"/>
                <w:b/>
                <w:sz w:val="22"/>
                <w:szCs w:val="22"/>
                <w:lang w:val="ru-RU"/>
              </w:rPr>
              <w:t>Содержание</w:t>
            </w:r>
          </w:p>
          <w:p w14:paraId="6CF1CFAD" w14:textId="77777777" w:rsidR="00DE6CE6" w:rsidRPr="000E2BAB" w:rsidRDefault="00DE6CE6" w:rsidP="00DE6CE6">
            <w:pPr>
              <w:pStyle w:val="Sansinterligne1"/>
              <w:spacing w:after="12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E2BAB">
              <w:rPr>
                <w:rFonts w:ascii="Arial" w:hAnsi="Arial" w:cs="Arial"/>
                <w:sz w:val="22"/>
                <w:szCs w:val="22"/>
                <w:lang w:val="ru-RU"/>
              </w:rPr>
              <w:t>Статья 13.2 (</w:t>
            </w:r>
            <w:proofErr w:type="spellStart"/>
            <w:r w:rsidRPr="000E2BAB">
              <w:rPr>
                <w:rFonts w:ascii="Arial" w:hAnsi="Arial" w:cs="Arial"/>
                <w:sz w:val="22"/>
                <w:szCs w:val="22"/>
                <w:lang w:val="ru-RU"/>
              </w:rPr>
              <w:t>ii</w:t>
            </w:r>
            <w:proofErr w:type="spellEnd"/>
            <w:r w:rsidRPr="000E2BAB">
              <w:rPr>
                <w:rFonts w:ascii="Arial" w:hAnsi="Arial" w:cs="Arial"/>
                <w:sz w:val="22"/>
                <w:szCs w:val="22"/>
                <w:lang w:val="ru-RU"/>
              </w:rPr>
              <w:t xml:space="preserve">) Правил процедуры Генеральной ассамблеи государств – участников Конвенции предусматривает, что двадцать четыре места в Комитете распределяются между избирательными группами пропорционально числу государств – участников в каждой группе, при том понимании, что в результате такого распределения каждой группе предоставляется не менее трех мест. Кроме того, в своей </w:t>
            </w:r>
            <w:hyperlink r:id="rId8" w:history="1">
              <w:r w:rsidRPr="000E2BAB">
                <w:rPr>
                  <w:rStyle w:val="Hyperlink"/>
                  <w:rFonts w:ascii="Arial" w:hAnsi="Arial" w:cs="Arial"/>
                  <w:sz w:val="22"/>
                  <w:szCs w:val="22"/>
                  <w:lang w:val="ru-RU"/>
                </w:rPr>
                <w:t>резолюции 3.GA 12</w:t>
              </w:r>
            </w:hyperlink>
            <w:r w:rsidRPr="000E2BAB">
              <w:rPr>
                <w:rFonts w:ascii="Arial" w:hAnsi="Arial" w:cs="Arial"/>
                <w:sz w:val="22"/>
                <w:szCs w:val="22"/>
                <w:lang w:val="ru-RU"/>
              </w:rPr>
              <w:t xml:space="preserve"> Генеральная ассамблея постановила, что при будущих выборах надлежит строго придерживаться статьи 13.2, сугубо на основе математических расчетов.</w:t>
            </w:r>
          </w:p>
          <w:p w14:paraId="13B91317" w14:textId="77777777" w:rsidR="00DE6CE6" w:rsidRPr="000E2BAB" w:rsidRDefault="00DE6CE6" w:rsidP="00DE6CE6">
            <w:pPr>
              <w:pStyle w:val="Sansinterligne2"/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0E2BAB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Требуемое решение: </w:t>
            </w:r>
            <w:r w:rsidRPr="000E2BAB">
              <w:rPr>
                <w:rFonts w:ascii="Arial" w:hAnsi="Arial" w:cs="Arial"/>
                <w:bCs/>
                <w:sz w:val="22"/>
                <w:szCs w:val="22"/>
                <w:lang w:val="ru-RU"/>
              </w:rPr>
              <w:t>пункт 5</w:t>
            </w:r>
          </w:p>
        </w:tc>
      </w:tr>
    </w:tbl>
    <w:p w14:paraId="7F6CDE8A" w14:textId="364CCE30" w:rsidR="00655736" w:rsidRPr="000E2BAB" w:rsidRDefault="001411E3" w:rsidP="00655736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0E2BAB">
        <w:rPr>
          <w:rFonts w:ascii="Arial" w:hAnsi="Arial" w:cs="Arial"/>
          <w:b/>
          <w:sz w:val="22"/>
          <w:szCs w:val="22"/>
          <w:u w:val="single"/>
          <w:lang w:val="ru-RU"/>
        </w:rPr>
        <w:t xml:space="preserve">Пункт </w:t>
      </w:r>
      <w:r w:rsidR="00F26618" w:rsidRPr="000E2BAB">
        <w:rPr>
          <w:rFonts w:ascii="Arial" w:hAnsi="Arial" w:cs="Arial"/>
          <w:b/>
          <w:sz w:val="22"/>
          <w:szCs w:val="22"/>
          <w:u w:val="single"/>
          <w:lang w:val="ru-RU"/>
        </w:rPr>
        <w:t>4</w:t>
      </w:r>
      <w:r w:rsidR="00655736" w:rsidRPr="000E2BAB">
        <w:rPr>
          <w:rFonts w:ascii="Arial" w:hAnsi="Arial" w:cs="Arial"/>
          <w:b/>
          <w:sz w:val="22"/>
          <w:szCs w:val="22"/>
          <w:u w:val="single"/>
          <w:lang w:val="ru-RU"/>
        </w:rPr>
        <w:t xml:space="preserve"> </w:t>
      </w:r>
      <w:r w:rsidRPr="000E2BAB">
        <w:rPr>
          <w:rFonts w:ascii="Arial" w:hAnsi="Arial" w:cs="Arial"/>
          <w:b/>
          <w:sz w:val="22"/>
          <w:szCs w:val="22"/>
          <w:u w:val="single"/>
          <w:lang w:val="ru-RU"/>
        </w:rPr>
        <w:t>предварительной повестки дня</w:t>
      </w:r>
      <w:r w:rsidR="00655736" w:rsidRPr="009B58CF">
        <w:rPr>
          <w:rFonts w:ascii="Arial" w:hAnsi="Arial" w:cs="Arial"/>
          <w:b/>
          <w:sz w:val="22"/>
          <w:szCs w:val="22"/>
          <w:lang w:val="ru-RU"/>
        </w:rPr>
        <w:t>:</w:t>
      </w:r>
    </w:p>
    <w:p w14:paraId="0EA261E7" w14:textId="5B205378" w:rsidR="00655736" w:rsidRPr="000E2BAB" w:rsidRDefault="001411E3" w:rsidP="00655736">
      <w:pPr>
        <w:pStyle w:val="Sansinterligne2"/>
        <w:spacing w:after="120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0E2BAB">
        <w:rPr>
          <w:rFonts w:ascii="Arial" w:hAnsi="Arial" w:cs="Arial"/>
          <w:b/>
          <w:sz w:val="22"/>
          <w:szCs w:val="22"/>
          <w:lang w:val="ru-RU"/>
        </w:rPr>
        <w:t>Распределение мест в Комитете по избирательным группам</w:t>
      </w:r>
    </w:p>
    <w:p w14:paraId="78547EAF" w14:textId="7283A3FF" w:rsidR="008B713F" w:rsidRPr="000E2BAB" w:rsidRDefault="00DA35FE" w:rsidP="00C21573">
      <w:pPr>
        <w:pStyle w:val="GAPara"/>
        <w:pageBreakBefore/>
        <w:jc w:val="both"/>
        <w:rPr>
          <w:lang w:val="ru-RU"/>
        </w:rPr>
      </w:pPr>
      <w:r w:rsidRPr="000E2BAB">
        <w:rPr>
          <w:lang w:val="ru-RU"/>
        </w:rPr>
        <w:lastRenderedPageBreak/>
        <w:t xml:space="preserve">В соответствии со статьей </w:t>
      </w:r>
      <w:r w:rsidR="008B713F" w:rsidRPr="000E2BAB">
        <w:rPr>
          <w:lang w:val="ru-RU"/>
        </w:rPr>
        <w:t>13.2 (</w:t>
      </w:r>
      <w:proofErr w:type="spellStart"/>
      <w:r w:rsidR="008B713F" w:rsidRPr="000E2BAB">
        <w:rPr>
          <w:lang w:val="ru-RU"/>
        </w:rPr>
        <w:t>ii</w:t>
      </w:r>
      <w:proofErr w:type="spellEnd"/>
      <w:r w:rsidR="008B713F" w:rsidRPr="000E2BAB">
        <w:rPr>
          <w:lang w:val="ru-RU"/>
        </w:rPr>
        <w:t xml:space="preserve">) </w:t>
      </w:r>
      <w:r w:rsidRPr="000E2BAB">
        <w:rPr>
          <w:lang w:val="ru-RU"/>
        </w:rPr>
        <w:t>Правил процедуры Генеральной ассамблеи государств – участников, двадцать четыре места в Комитете распределяются между избирательными группами пропорционально числу государств – участников в каждой группе, при том понимании, что в результате такого распределения каждой группе предоставляется не менее трех мест.</w:t>
      </w:r>
    </w:p>
    <w:p w14:paraId="5C8D0099" w14:textId="3F433D91" w:rsidR="008B713F" w:rsidRPr="000E2BAB" w:rsidRDefault="004B1303">
      <w:pPr>
        <w:pStyle w:val="GAPara"/>
        <w:spacing w:after="240"/>
        <w:jc w:val="both"/>
        <w:rPr>
          <w:lang w:val="ru-RU"/>
        </w:rPr>
      </w:pPr>
      <w:r w:rsidRPr="000E2BAB">
        <w:rPr>
          <w:lang w:val="ru-RU"/>
        </w:rPr>
        <w:t xml:space="preserve">По состоянию на </w:t>
      </w:r>
      <w:r w:rsidR="00DE6CE6" w:rsidRPr="000E2BAB">
        <w:rPr>
          <w:lang w:val="ru-RU"/>
        </w:rPr>
        <w:t>7</w:t>
      </w:r>
      <w:r w:rsidR="00B854C6" w:rsidRPr="000E2BAB">
        <w:rPr>
          <w:lang w:val="ru-RU"/>
        </w:rPr>
        <w:t xml:space="preserve"> </w:t>
      </w:r>
      <w:r w:rsidR="00DE6CE6" w:rsidRPr="000E2BAB">
        <w:rPr>
          <w:lang w:val="ru-RU"/>
        </w:rPr>
        <w:t xml:space="preserve">апреля </w:t>
      </w:r>
      <w:r w:rsidR="007A0CFF" w:rsidRPr="000E2BAB">
        <w:rPr>
          <w:lang w:val="ru-RU"/>
        </w:rPr>
        <w:t>202</w:t>
      </w:r>
      <w:r w:rsidR="00DE6CE6" w:rsidRPr="000E2BAB">
        <w:rPr>
          <w:lang w:val="ru-RU"/>
        </w:rPr>
        <w:t>2</w:t>
      </w:r>
      <w:r w:rsidRPr="000E2BAB">
        <w:rPr>
          <w:lang w:val="ru-RU"/>
        </w:rPr>
        <w:t> г. следующие 18</w:t>
      </w:r>
      <w:r w:rsidR="00DE6CE6" w:rsidRPr="000E2BAB">
        <w:rPr>
          <w:lang w:val="ru-RU"/>
        </w:rPr>
        <w:t>0</w:t>
      </w:r>
      <w:r w:rsidRPr="000E2BAB">
        <w:rPr>
          <w:lang w:val="ru-RU"/>
        </w:rPr>
        <w:t xml:space="preserve"> государств сдали на хранение свои ратификационные грамоты или документы о принятии, утверждении или присоединении и, таким образом, согласно статье 34 Конвенции, будут являться государствами – участниками Конвенции </w:t>
      </w:r>
      <w:r w:rsidR="00633029" w:rsidRPr="000E2BAB">
        <w:rPr>
          <w:lang w:val="ru-RU"/>
        </w:rPr>
        <w:t xml:space="preserve">на дату избрания членов Комитета – </w:t>
      </w:r>
      <w:r w:rsidR="00DE6CE6" w:rsidRPr="000E2BAB">
        <w:rPr>
          <w:lang w:val="ru-RU"/>
        </w:rPr>
        <w:t>7 июл</w:t>
      </w:r>
      <w:r w:rsidR="00906D4F" w:rsidRPr="000E2BAB">
        <w:rPr>
          <w:lang w:val="ru-RU"/>
        </w:rPr>
        <w:t xml:space="preserve">я </w:t>
      </w:r>
      <w:r w:rsidR="00633029" w:rsidRPr="000E2BAB">
        <w:rPr>
          <w:lang w:val="ru-RU"/>
        </w:rPr>
        <w:t>202</w:t>
      </w:r>
      <w:r w:rsidR="00DE6CE6" w:rsidRPr="000E2BAB">
        <w:rPr>
          <w:lang w:val="ru-RU"/>
        </w:rPr>
        <w:t>2</w:t>
      </w:r>
      <w:r w:rsidR="00633029" w:rsidRPr="000E2BAB">
        <w:rPr>
          <w:lang w:val="ru-RU"/>
        </w:rPr>
        <w:t xml:space="preserve"> года.</w:t>
      </w:r>
    </w:p>
    <w:tbl>
      <w:tblPr>
        <w:tblW w:w="4712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7229"/>
      </w:tblGrid>
      <w:tr w:rsidR="00DE6CE6" w:rsidRPr="009B58CF" w14:paraId="3E3C12A1" w14:textId="77777777" w:rsidTr="009B58CF">
        <w:tc>
          <w:tcPr>
            <w:tcW w:w="1016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85CE5B2" w14:textId="027201B7" w:rsidR="00DE6CE6" w:rsidRPr="000E2BAB" w:rsidRDefault="00DE6CE6" w:rsidP="00633029">
            <w:pPr>
              <w:pStyle w:val="Marge"/>
              <w:spacing w:before="240"/>
              <w:jc w:val="left"/>
              <w:rPr>
                <w:b/>
                <w:sz w:val="20"/>
                <w:szCs w:val="20"/>
                <w:lang w:val="ru-RU"/>
              </w:rPr>
            </w:pPr>
            <w:r w:rsidRPr="000E2BAB">
              <w:rPr>
                <w:b/>
                <w:sz w:val="20"/>
                <w:szCs w:val="20"/>
                <w:lang w:val="ru-RU"/>
              </w:rPr>
              <w:t>Группа I</w:t>
            </w:r>
            <w:r w:rsidRPr="000E2BAB">
              <w:rPr>
                <w:b/>
                <w:sz w:val="20"/>
                <w:szCs w:val="20"/>
                <w:lang w:val="ru-RU"/>
              </w:rPr>
              <w:br/>
            </w:r>
            <w:r w:rsidRPr="000E2BAB">
              <w:rPr>
                <w:sz w:val="20"/>
                <w:szCs w:val="20"/>
                <w:lang w:val="ru-RU"/>
              </w:rPr>
              <w:t>(22 государства)</w:t>
            </w:r>
          </w:p>
        </w:tc>
        <w:tc>
          <w:tcPr>
            <w:tcW w:w="3984" w:type="pct"/>
            <w:vAlign w:val="center"/>
          </w:tcPr>
          <w:p w14:paraId="729AF87F" w14:textId="1F03FBAD" w:rsidR="00DE6CE6" w:rsidRPr="000E2BAB" w:rsidRDefault="00DE6CE6" w:rsidP="00633029">
            <w:pPr>
              <w:pStyle w:val="Marge"/>
              <w:spacing w:before="60" w:after="60"/>
              <w:jc w:val="left"/>
              <w:rPr>
                <w:rFonts w:cs="Arial"/>
                <w:spacing w:val="-3"/>
                <w:sz w:val="20"/>
                <w:szCs w:val="22"/>
                <w:lang w:val="ru-RU"/>
              </w:rPr>
            </w:pPr>
            <w:r w:rsidRPr="000E2BAB">
              <w:rPr>
                <w:sz w:val="20"/>
                <w:szCs w:val="22"/>
                <w:lang w:val="ru-RU"/>
              </w:rPr>
              <w:t>Австрия, Андорра, Бельгия, Германия, Греция, Дания, Ирландия, Исландия, Испания, Италия, Кипр, Люксембург, Мальта, Монако, Нидерланды, Норвегия, Португалия, Турция, Финляндия, Франция, Швейцария, Швеция</w:t>
            </w:r>
          </w:p>
        </w:tc>
      </w:tr>
      <w:tr w:rsidR="00DE6CE6" w:rsidRPr="009B58CF" w14:paraId="41D3C233" w14:textId="77777777" w:rsidTr="009B58CF"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1A372F2" w14:textId="297F2E76" w:rsidR="00DE6CE6" w:rsidRPr="000E2BAB" w:rsidRDefault="00DE6CE6" w:rsidP="00633029">
            <w:pPr>
              <w:pStyle w:val="Marge"/>
              <w:spacing w:before="240"/>
              <w:jc w:val="left"/>
              <w:rPr>
                <w:rFonts w:cs="Arial"/>
                <w:b/>
                <w:spacing w:val="-3"/>
                <w:sz w:val="20"/>
                <w:szCs w:val="20"/>
                <w:lang w:val="ru-RU"/>
              </w:rPr>
            </w:pPr>
            <w:r w:rsidRPr="000E2BAB">
              <w:rPr>
                <w:b/>
                <w:sz w:val="20"/>
                <w:szCs w:val="20"/>
                <w:lang w:val="ru-RU"/>
              </w:rPr>
              <w:t>Группа II</w:t>
            </w:r>
            <w:r w:rsidRPr="000E2BAB">
              <w:rPr>
                <w:b/>
                <w:sz w:val="20"/>
                <w:szCs w:val="20"/>
                <w:lang w:val="ru-RU"/>
              </w:rPr>
              <w:br/>
            </w:r>
            <w:r w:rsidRPr="000E2BAB">
              <w:rPr>
                <w:sz w:val="20"/>
                <w:szCs w:val="20"/>
                <w:lang w:val="ru-RU"/>
              </w:rPr>
              <w:t>(24 государства)</w:t>
            </w:r>
          </w:p>
        </w:tc>
        <w:tc>
          <w:tcPr>
            <w:tcW w:w="3984" w:type="pct"/>
            <w:vAlign w:val="center"/>
          </w:tcPr>
          <w:p w14:paraId="66C58031" w14:textId="16932731" w:rsidR="00DE6CE6" w:rsidRPr="000E2BAB" w:rsidRDefault="00DE6CE6" w:rsidP="00445A1D">
            <w:pPr>
              <w:pStyle w:val="Marge"/>
              <w:spacing w:before="60" w:after="60"/>
              <w:jc w:val="left"/>
              <w:rPr>
                <w:rFonts w:cs="Arial"/>
                <w:spacing w:val="-3"/>
                <w:sz w:val="20"/>
                <w:szCs w:val="20"/>
                <w:lang w:val="ru-RU"/>
              </w:rPr>
            </w:pPr>
            <w:r w:rsidRPr="000E2BAB">
              <w:rPr>
                <w:sz w:val="20"/>
                <w:szCs w:val="20"/>
                <w:lang w:val="ru-RU"/>
              </w:rPr>
              <w:t>Азербайджан, Албания, Армения, Беларусь, Болгария, Босния и Герцеговина, Венгрия, Грузия, Латвия, Литва, Польша, Республика Молдова, Румыния, Северная Македония, Сербия, Словакия, Словения, Таджикистан, Узбекистан, Украина, Хорватия, Черногория, Чехия, Эстония</w:t>
            </w:r>
          </w:p>
        </w:tc>
      </w:tr>
      <w:tr w:rsidR="00DE6CE6" w:rsidRPr="009B58CF" w14:paraId="2A00FDE1" w14:textId="77777777" w:rsidTr="009B58CF"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3CDF5AB" w14:textId="18AAC58C" w:rsidR="00DE6CE6" w:rsidRPr="000E2BAB" w:rsidRDefault="00DE6CE6" w:rsidP="00633029">
            <w:pPr>
              <w:pStyle w:val="Marge"/>
              <w:spacing w:before="240"/>
              <w:jc w:val="left"/>
              <w:rPr>
                <w:rFonts w:cs="Arial"/>
                <w:b/>
                <w:spacing w:val="-3"/>
                <w:sz w:val="20"/>
                <w:szCs w:val="20"/>
                <w:lang w:val="ru-RU"/>
              </w:rPr>
            </w:pPr>
            <w:r w:rsidRPr="000E2BAB">
              <w:rPr>
                <w:b/>
                <w:sz w:val="20"/>
                <w:szCs w:val="20"/>
                <w:lang w:val="ru-RU"/>
              </w:rPr>
              <w:t>Группа III</w:t>
            </w:r>
            <w:r w:rsidRPr="000E2BAB">
              <w:rPr>
                <w:b/>
                <w:sz w:val="20"/>
                <w:szCs w:val="20"/>
                <w:lang w:val="ru-RU"/>
              </w:rPr>
              <w:br/>
            </w:r>
            <w:r w:rsidRPr="000E2BAB">
              <w:rPr>
                <w:sz w:val="20"/>
                <w:szCs w:val="20"/>
                <w:lang w:val="ru-RU"/>
              </w:rPr>
              <w:t>(32 государства)</w:t>
            </w:r>
          </w:p>
        </w:tc>
        <w:tc>
          <w:tcPr>
            <w:tcW w:w="3984" w:type="pct"/>
            <w:vAlign w:val="center"/>
          </w:tcPr>
          <w:p w14:paraId="752510C3" w14:textId="24468A55" w:rsidR="00DE6CE6" w:rsidRPr="000E2BAB" w:rsidRDefault="00DE6CE6" w:rsidP="00445A1D">
            <w:pPr>
              <w:pStyle w:val="Marge"/>
              <w:spacing w:before="60" w:after="60"/>
              <w:jc w:val="left"/>
              <w:rPr>
                <w:rFonts w:cs="Arial"/>
                <w:spacing w:val="-3"/>
                <w:sz w:val="20"/>
                <w:szCs w:val="22"/>
                <w:lang w:val="ru-RU"/>
              </w:rPr>
            </w:pPr>
            <w:r w:rsidRPr="000E2BAB">
              <w:rPr>
                <w:sz w:val="20"/>
                <w:szCs w:val="20"/>
                <w:lang w:val="ru-RU"/>
              </w:rPr>
              <w:t xml:space="preserve">Антигуа и Барбуда, Аргентина, Багамские острова, Барбадос, Белиз, Боливия (Многонациональное Государство), Бразилия, Венесуэла (Боливарианская Республика), Гаити, Гватемала, Гондурас, Гренада, Доминика, Доминиканская Республика, </w:t>
            </w:r>
            <w:r w:rsidRPr="000E2BAB">
              <w:rPr>
                <w:rFonts w:cs="Arial"/>
                <w:sz w:val="20"/>
                <w:szCs w:val="20"/>
                <w:lang w:val="ru-RU"/>
              </w:rPr>
              <w:t>Колумбия, Коста-Рика, Куба, Мексика, Никарагуа, Панама, Парагвай, Перу, Сальвадор, Сент-Винсент и Гренадины, Сент-Китс и Невис, Сент-Люсия, Суринам, Тринидад и Тобаго, Уругвай, Чили, Эквадор, Ямайка</w:t>
            </w:r>
          </w:p>
        </w:tc>
      </w:tr>
      <w:tr w:rsidR="00DE6CE6" w:rsidRPr="009B58CF" w14:paraId="2FAB7B1C" w14:textId="77777777" w:rsidTr="009B58CF"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3187017" w14:textId="665FF32C" w:rsidR="00DE6CE6" w:rsidRPr="000E2BAB" w:rsidRDefault="00DE6CE6" w:rsidP="00633029">
            <w:pPr>
              <w:pStyle w:val="Marge"/>
              <w:spacing w:before="240"/>
              <w:jc w:val="left"/>
              <w:rPr>
                <w:rFonts w:cs="Arial"/>
                <w:b/>
                <w:spacing w:val="-3"/>
                <w:sz w:val="20"/>
                <w:szCs w:val="20"/>
                <w:lang w:val="ru-RU"/>
              </w:rPr>
            </w:pPr>
            <w:r w:rsidRPr="000E2BAB">
              <w:rPr>
                <w:b/>
                <w:sz w:val="20"/>
                <w:szCs w:val="20"/>
                <w:lang w:val="ru-RU"/>
              </w:rPr>
              <w:t>Группа IV</w:t>
            </w:r>
            <w:r w:rsidRPr="000E2BAB">
              <w:rPr>
                <w:b/>
                <w:sz w:val="20"/>
                <w:szCs w:val="20"/>
                <w:lang w:val="ru-RU"/>
              </w:rPr>
              <w:br/>
            </w:r>
            <w:r w:rsidRPr="000E2BAB">
              <w:rPr>
                <w:sz w:val="20"/>
                <w:szCs w:val="20"/>
                <w:lang w:val="ru-RU"/>
              </w:rPr>
              <w:t>(40 государств)</w:t>
            </w:r>
          </w:p>
        </w:tc>
        <w:tc>
          <w:tcPr>
            <w:tcW w:w="3984" w:type="pct"/>
            <w:vAlign w:val="center"/>
          </w:tcPr>
          <w:p w14:paraId="60762663" w14:textId="33D996CC" w:rsidR="00DE6CE6" w:rsidRPr="000E2BAB" w:rsidRDefault="00DE6CE6" w:rsidP="00445A1D">
            <w:pPr>
              <w:pStyle w:val="Marge"/>
              <w:spacing w:before="60" w:after="60"/>
              <w:jc w:val="left"/>
              <w:rPr>
                <w:rFonts w:cs="Arial"/>
                <w:spacing w:val="-3"/>
                <w:sz w:val="20"/>
                <w:szCs w:val="20"/>
                <w:lang w:val="ru-RU"/>
              </w:rPr>
            </w:pPr>
            <w:r w:rsidRPr="000E2BAB">
              <w:rPr>
                <w:rFonts w:cs="Arial"/>
                <w:sz w:val="20"/>
                <w:szCs w:val="20"/>
                <w:lang w:val="ru-RU"/>
              </w:rPr>
              <w:t>Афганистан, Бангладеш, Бруней-Даруссалам, Бутан, Вануату, Вьетнам, Индия, Индонезия, Иран (Исламская Республика), Казахстан, Камбоджа, Кирибати, Китай, Корейская Народно-Демократическая Республика, Кыргызстан, Лаосская Народно-Демократическая Республика, Малайзия, Маршалловы Острова, Микронезия (Федеративные Штаты), Монголия, Мьянма, Науру, Непал, Острова Кука, Пакистан, Палау, Папуа-Новая Гвинея, Республика Корея, Самоа, Сингапур, Соломоновы Острова, Таиланд, Тимор-</w:t>
            </w:r>
            <w:proofErr w:type="spellStart"/>
            <w:r w:rsidRPr="000E2BAB">
              <w:rPr>
                <w:rFonts w:cs="Arial"/>
                <w:sz w:val="20"/>
                <w:szCs w:val="20"/>
                <w:lang w:val="ru-RU"/>
              </w:rPr>
              <w:t>Лешти</w:t>
            </w:r>
            <w:proofErr w:type="spellEnd"/>
            <w:r w:rsidRPr="000E2BAB">
              <w:rPr>
                <w:rFonts w:cs="Arial"/>
                <w:sz w:val="20"/>
                <w:szCs w:val="20"/>
                <w:lang w:val="ru-RU"/>
              </w:rPr>
              <w:t>, Тонга, Тувалу, Туркменистан, Фиджи, Филиппины, Шри-Ланка, Япония</w:t>
            </w:r>
          </w:p>
        </w:tc>
      </w:tr>
      <w:tr w:rsidR="00DE6CE6" w:rsidRPr="009B58CF" w14:paraId="0D159C99" w14:textId="77777777" w:rsidTr="009B58CF"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09E9E29" w14:textId="298FDD6F" w:rsidR="00DE6CE6" w:rsidRPr="000E2BAB" w:rsidRDefault="00DE6CE6" w:rsidP="00633029">
            <w:pPr>
              <w:pStyle w:val="Marge"/>
              <w:spacing w:before="240"/>
              <w:jc w:val="left"/>
              <w:rPr>
                <w:rFonts w:cs="Arial"/>
                <w:b/>
                <w:spacing w:val="-3"/>
                <w:sz w:val="20"/>
                <w:szCs w:val="20"/>
                <w:lang w:val="ru-RU"/>
              </w:rPr>
            </w:pPr>
            <w:r w:rsidRPr="000E2BAB">
              <w:rPr>
                <w:b/>
                <w:sz w:val="20"/>
                <w:szCs w:val="20"/>
                <w:lang w:val="ru-RU"/>
              </w:rPr>
              <w:t>Группа V(a)</w:t>
            </w:r>
            <w:r w:rsidRPr="000E2BAB">
              <w:rPr>
                <w:b/>
                <w:sz w:val="20"/>
                <w:szCs w:val="20"/>
                <w:lang w:val="ru-RU"/>
              </w:rPr>
              <w:br/>
            </w:r>
            <w:r w:rsidRPr="000E2BAB">
              <w:rPr>
                <w:sz w:val="20"/>
                <w:szCs w:val="20"/>
                <w:lang w:val="ru-RU"/>
              </w:rPr>
              <w:t>(44 государств)</w:t>
            </w:r>
          </w:p>
        </w:tc>
        <w:tc>
          <w:tcPr>
            <w:tcW w:w="3984" w:type="pct"/>
            <w:vAlign w:val="center"/>
          </w:tcPr>
          <w:p w14:paraId="20DE5954" w14:textId="1776A00F" w:rsidR="00DE6CE6" w:rsidRPr="000E2BAB" w:rsidRDefault="00DE6CE6" w:rsidP="00445A1D">
            <w:pPr>
              <w:pStyle w:val="Marge"/>
              <w:spacing w:before="60" w:after="60"/>
              <w:jc w:val="left"/>
              <w:rPr>
                <w:rFonts w:cs="Arial"/>
                <w:spacing w:val="-3"/>
                <w:sz w:val="20"/>
                <w:szCs w:val="20"/>
                <w:lang w:val="ru-RU"/>
              </w:rPr>
            </w:pPr>
            <w:r w:rsidRPr="000E2BAB">
              <w:rPr>
                <w:rFonts w:cs="Arial"/>
                <w:sz w:val="20"/>
                <w:szCs w:val="20"/>
                <w:lang w:val="ru-RU"/>
              </w:rPr>
              <w:t xml:space="preserve">Ангола, Бенин, Ботсвана, Буркина-Фасо, Бурунди, Габон, Гамбия, Гана, Гвинея, Гвинея-Бисау, Демократическая Республика Конго, Джибути, Замбия, Зимбабве, Кабо-Верде, Камерун, Кения, Коморские Острова, Конго, Кот-д’Ивуар, Лесото, Маврикий, Мадагаскар, Малави, Мали, Мозамбик, Намибия, Нигер, Нигерия, Объединенная Республика Танзания, Руанда, Сан-Томе и Принсипи, Сейшельские Острова, </w:t>
            </w:r>
            <w:r w:rsidR="00320ED4" w:rsidRPr="000E2BAB">
              <w:rPr>
                <w:rFonts w:cs="Arial"/>
                <w:sz w:val="20"/>
                <w:szCs w:val="20"/>
                <w:lang w:val="ru-RU"/>
              </w:rPr>
              <w:t xml:space="preserve">Сомали, </w:t>
            </w:r>
            <w:r w:rsidRPr="000E2BAB">
              <w:rPr>
                <w:rFonts w:cs="Arial"/>
                <w:sz w:val="20"/>
                <w:szCs w:val="20"/>
                <w:lang w:val="ru-RU"/>
              </w:rPr>
              <w:t>Сенегал, Того, Уганда, Центральноафриканская Республика, Чад, Экваториальная Гвинея, Эритрея, Эсватини, Эфиопия, Южный Судан</w:t>
            </w:r>
          </w:p>
        </w:tc>
      </w:tr>
      <w:tr w:rsidR="00DE6CE6" w:rsidRPr="009B58CF" w14:paraId="5C986241" w14:textId="77777777" w:rsidTr="009B58CF"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1254C16" w14:textId="24575CDC" w:rsidR="00DE6CE6" w:rsidRPr="000E2BAB" w:rsidRDefault="00DE6CE6" w:rsidP="00633029">
            <w:pPr>
              <w:pStyle w:val="Marge"/>
              <w:spacing w:before="240"/>
              <w:jc w:val="left"/>
              <w:rPr>
                <w:rFonts w:cs="Arial"/>
                <w:b/>
                <w:spacing w:val="-3"/>
                <w:sz w:val="20"/>
                <w:szCs w:val="20"/>
                <w:lang w:val="ru-RU"/>
              </w:rPr>
            </w:pPr>
            <w:r w:rsidRPr="000E2BAB">
              <w:rPr>
                <w:b/>
                <w:sz w:val="20"/>
                <w:szCs w:val="20"/>
                <w:lang w:val="ru-RU"/>
              </w:rPr>
              <w:t xml:space="preserve">Группа </w:t>
            </w:r>
            <w:r w:rsidR="00847B88" w:rsidRPr="000E2BAB">
              <w:rPr>
                <w:b/>
                <w:sz w:val="20"/>
                <w:szCs w:val="20"/>
                <w:lang w:val="ru-RU"/>
              </w:rPr>
              <w:t>V(b)</w:t>
            </w:r>
            <w:r w:rsidRPr="000E2BAB">
              <w:rPr>
                <w:b/>
                <w:sz w:val="20"/>
                <w:szCs w:val="20"/>
                <w:lang w:val="ru-RU"/>
              </w:rPr>
              <w:br/>
            </w:r>
            <w:r w:rsidRPr="000E2BAB">
              <w:rPr>
                <w:sz w:val="20"/>
                <w:szCs w:val="20"/>
                <w:lang w:val="ru-RU"/>
              </w:rPr>
              <w:t>(18 государств)</w:t>
            </w:r>
          </w:p>
        </w:tc>
        <w:tc>
          <w:tcPr>
            <w:tcW w:w="3984" w:type="pct"/>
            <w:vAlign w:val="center"/>
          </w:tcPr>
          <w:p w14:paraId="059FC014" w14:textId="3DAB296C" w:rsidR="00DE6CE6" w:rsidRPr="000E2BAB" w:rsidRDefault="00DE6CE6" w:rsidP="00445A1D">
            <w:pPr>
              <w:pStyle w:val="Marge"/>
              <w:spacing w:before="60" w:after="60"/>
              <w:jc w:val="left"/>
              <w:rPr>
                <w:rFonts w:cs="Arial"/>
                <w:spacing w:val="-3"/>
                <w:sz w:val="20"/>
                <w:szCs w:val="20"/>
                <w:lang w:val="ru-RU"/>
              </w:rPr>
            </w:pPr>
            <w:r w:rsidRPr="000E2BAB">
              <w:rPr>
                <w:rFonts w:cs="Arial"/>
                <w:sz w:val="20"/>
                <w:szCs w:val="20"/>
                <w:lang w:val="ru-RU"/>
              </w:rPr>
              <w:t>Алжир, Бахрейн, Египет, Иордания, Ирак, Йемен, Катар, Кувейт, Ливан, Мавритания, Марокко, Объединённые Арабские Эмираты, Оман, Палестина, Саудовская Аравия, Сирийская Арабская Республика, Судан, Тунис</w:t>
            </w:r>
          </w:p>
        </w:tc>
      </w:tr>
    </w:tbl>
    <w:p w14:paraId="5CFE5125" w14:textId="28D93A82" w:rsidR="008B713F" w:rsidRPr="000E2BAB" w:rsidRDefault="001578FF" w:rsidP="009B58CF">
      <w:pPr>
        <w:pStyle w:val="GAPara"/>
        <w:spacing w:before="120"/>
        <w:jc w:val="both"/>
        <w:rPr>
          <w:lang w:val="ru-RU"/>
        </w:rPr>
      </w:pPr>
      <w:r w:rsidRPr="000E2BAB">
        <w:rPr>
          <w:lang w:val="ru-RU"/>
        </w:rPr>
        <w:t xml:space="preserve">В своей </w:t>
      </w:r>
      <w:hyperlink r:id="rId9" w:history="1">
        <w:r w:rsidRPr="000E2BAB">
          <w:rPr>
            <w:rStyle w:val="Hyperlink"/>
            <w:lang w:val="ru-RU"/>
          </w:rPr>
          <w:t>резолюции</w:t>
        </w:r>
        <w:r w:rsidR="008B713F" w:rsidRPr="000E2BAB">
          <w:rPr>
            <w:rStyle w:val="Hyperlink"/>
            <w:lang w:val="ru-RU"/>
          </w:rPr>
          <w:t> 3.GA 12</w:t>
        </w:r>
      </w:hyperlink>
      <w:r w:rsidRPr="000E2BAB">
        <w:rPr>
          <w:lang w:val="ru-RU"/>
        </w:rPr>
        <w:t xml:space="preserve"> Генеральная ассамблея постановила, что «при будущих выборах </w:t>
      </w:r>
      <w:r w:rsidR="00101602" w:rsidRPr="000E2BAB">
        <w:rPr>
          <w:lang w:val="ru-RU"/>
        </w:rPr>
        <w:t>надлежит строго придерживаться принципа пропорциональности, предусмотренного в статье 13.2 ее Правил процедуры, в полном соответствии с принципом справедливого географического распределения, закрепленным в статье 6.1 Конвенции, и сугубо на основе математических расчетов».</w:t>
      </w:r>
    </w:p>
    <w:p w14:paraId="237BEA1C" w14:textId="065FAFC9" w:rsidR="008B713F" w:rsidRPr="000E2BAB" w:rsidRDefault="00ED600B" w:rsidP="009B58CF">
      <w:pPr>
        <w:pStyle w:val="GAPara"/>
        <w:keepLines/>
        <w:jc w:val="both"/>
        <w:rPr>
          <w:lang w:val="ru-RU"/>
        </w:rPr>
      </w:pPr>
      <w:r w:rsidRPr="000E2BAB">
        <w:rPr>
          <w:lang w:val="ru-RU"/>
        </w:rPr>
        <w:lastRenderedPageBreak/>
        <w:t xml:space="preserve">Следовательно, распределение мест по избирательным группам пропорционально числу государств – участников можно произвести на основе математических расчетов </w:t>
      </w:r>
      <w:r w:rsidR="00EB10EB" w:rsidRPr="000E2BAB">
        <w:rPr>
          <w:lang w:val="ru-RU"/>
        </w:rPr>
        <w:t xml:space="preserve">согласно приведенной ниже таблице. </w:t>
      </w:r>
      <w:r w:rsidR="00CB6BFE" w:rsidRPr="000E2BAB">
        <w:rPr>
          <w:lang w:val="ru-RU"/>
        </w:rPr>
        <w:t xml:space="preserve">Согласно этим расчетам, минимальное число мест (три) сначала предоставляется избирательной группе </w:t>
      </w:r>
      <w:r w:rsidR="008B713F" w:rsidRPr="000E2BAB">
        <w:rPr>
          <w:lang w:val="ru-RU"/>
        </w:rPr>
        <w:t xml:space="preserve">V(b). </w:t>
      </w:r>
      <w:r w:rsidR="000C7D74" w:rsidRPr="000E2BAB">
        <w:rPr>
          <w:lang w:val="ru-RU"/>
        </w:rPr>
        <w:t>Затем оставшиеся места в количестве 21 распределяются между остальными пятью группами</w:t>
      </w:r>
      <w:r w:rsidR="00445A1D" w:rsidRPr="000E2BAB">
        <w:rPr>
          <w:lang w:val="ru-RU"/>
        </w:rPr>
        <w:t>, начиная с группы с наибольшей дробной долей (группа V(a)), за которой следует группа с</w:t>
      </w:r>
      <w:r w:rsidR="000E6DAC" w:rsidRPr="000E2BAB">
        <w:rPr>
          <w:lang w:val="ru-RU"/>
        </w:rPr>
        <w:t>о</w:t>
      </w:r>
      <w:r w:rsidR="00445A1D" w:rsidRPr="000E2BAB">
        <w:rPr>
          <w:lang w:val="ru-RU"/>
        </w:rPr>
        <w:t xml:space="preserve"> второй по величине </w:t>
      </w:r>
      <w:r w:rsidR="000E6DAC" w:rsidRPr="000E2BAB">
        <w:rPr>
          <w:lang w:val="ru-RU"/>
        </w:rPr>
        <w:t xml:space="preserve">дробной долей (группа </w:t>
      </w:r>
      <w:r w:rsidR="008B713F" w:rsidRPr="000E2BAB">
        <w:rPr>
          <w:lang w:val="ru-RU"/>
        </w:rPr>
        <w:t>IV).</w:t>
      </w:r>
      <w:r w:rsidR="00320ED4" w:rsidRPr="000E2BAB">
        <w:rPr>
          <w:lang w:val="ru-RU"/>
        </w:rPr>
        <w:t xml:space="preserve"> Исходя из этого, на нынешней сессии Ассамблеи должны быть избраны члены Комитета по пункту 11.</w:t>
      </w:r>
    </w:p>
    <w:tbl>
      <w:tblPr>
        <w:tblW w:w="7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1547"/>
        <w:gridCol w:w="1547"/>
        <w:gridCol w:w="1547"/>
        <w:gridCol w:w="1548"/>
      </w:tblGrid>
      <w:tr w:rsidR="008B713F" w:rsidRPr="000E2BAB" w14:paraId="40F3C265" w14:textId="77777777" w:rsidTr="001C1D88">
        <w:trPr>
          <w:cantSplit/>
          <w:trHeight w:val="300"/>
          <w:jc w:val="center"/>
        </w:trPr>
        <w:tc>
          <w:tcPr>
            <w:tcW w:w="154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0FCB3" w14:textId="17B4EAAE" w:rsidR="008B713F" w:rsidRPr="000E2BAB" w:rsidRDefault="000E6DAC" w:rsidP="000E6DAC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en-US" w:bidi="th-TH"/>
              </w:rPr>
            </w:pPr>
            <w:proofErr w:type="gramStart"/>
            <w:r w:rsidRPr="000E2BAB">
              <w:rPr>
                <w:rFonts w:ascii="Arial" w:hAnsi="Arial" w:cs="Arial"/>
                <w:b/>
                <w:sz w:val="20"/>
                <w:szCs w:val="20"/>
                <w:lang w:val="ru-RU" w:eastAsia="en-US" w:bidi="th-TH"/>
              </w:rPr>
              <w:t>Избиратель-ная</w:t>
            </w:r>
            <w:proofErr w:type="gramEnd"/>
            <w:r w:rsidRPr="000E2BAB">
              <w:rPr>
                <w:rFonts w:ascii="Arial" w:hAnsi="Arial" w:cs="Arial"/>
                <w:b/>
                <w:sz w:val="20"/>
                <w:szCs w:val="20"/>
                <w:lang w:val="ru-RU" w:eastAsia="en-US" w:bidi="th-TH"/>
              </w:rPr>
              <w:t xml:space="preserve"> группа</w:t>
            </w:r>
          </w:p>
        </w:tc>
        <w:tc>
          <w:tcPr>
            <w:tcW w:w="154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B58A2" w14:textId="60A81192" w:rsidR="008B713F" w:rsidRPr="000E2BAB" w:rsidRDefault="000E6DAC" w:rsidP="000E6DAC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en-US" w:bidi="th-TH"/>
              </w:rPr>
            </w:pPr>
            <w:r w:rsidRPr="000E2BAB">
              <w:rPr>
                <w:rFonts w:ascii="Arial" w:hAnsi="Arial" w:cs="Arial"/>
                <w:b/>
                <w:sz w:val="20"/>
                <w:szCs w:val="20"/>
                <w:lang w:val="ru-RU" w:eastAsia="en-US" w:bidi="th-TH"/>
              </w:rPr>
              <w:t>Государства-участники</w:t>
            </w:r>
          </w:p>
        </w:tc>
        <w:tc>
          <w:tcPr>
            <w:tcW w:w="154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4377D" w14:textId="5A95B9AA" w:rsidR="008B713F" w:rsidRPr="000E2BAB" w:rsidRDefault="000E6DAC" w:rsidP="000E6DAC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en-US" w:bidi="th-TH"/>
              </w:rPr>
            </w:pPr>
            <w:r w:rsidRPr="000E2BAB">
              <w:rPr>
                <w:rFonts w:ascii="Arial" w:hAnsi="Arial" w:cs="Arial"/>
                <w:b/>
                <w:sz w:val="20"/>
                <w:szCs w:val="20"/>
                <w:lang w:val="ru-RU" w:eastAsia="en-US" w:bidi="th-TH"/>
              </w:rPr>
              <w:t>Процент от общего числа</w:t>
            </w:r>
          </w:p>
        </w:tc>
        <w:tc>
          <w:tcPr>
            <w:tcW w:w="154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17AD2" w14:textId="35BBBE20" w:rsidR="008B713F" w:rsidRPr="000E2BAB" w:rsidRDefault="000E6DAC" w:rsidP="000E6DAC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en-US" w:bidi="th-TH"/>
              </w:rPr>
            </w:pPr>
            <w:r w:rsidRPr="000E2BAB">
              <w:rPr>
                <w:rFonts w:ascii="Arial" w:hAnsi="Arial" w:cs="Arial"/>
                <w:b/>
                <w:sz w:val="20"/>
                <w:szCs w:val="20"/>
                <w:lang w:val="ru-RU" w:eastAsia="en-US" w:bidi="th-TH"/>
              </w:rPr>
              <w:t>Число мест (дробная часть)</w:t>
            </w:r>
          </w:p>
        </w:tc>
        <w:tc>
          <w:tcPr>
            <w:tcW w:w="1548" w:type="dxa"/>
            <w:shd w:val="clear" w:color="auto" w:fill="D9D9D9"/>
            <w:vAlign w:val="center"/>
          </w:tcPr>
          <w:p w14:paraId="49619DE9" w14:textId="52755BC8" w:rsidR="008B713F" w:rsidRPr="000E2BAB" w:rsidRDefault="000E6DAC" w:rsidP="000E6DAC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en-US" w:bidi="th-TH"/>
              </w:rPr>
            </w:pPr>
            <w:r w:rsidRPr="000E2BAB">
              <w:rPr>
                <w:rFonts w:ascii="Arial" w:hAnsi="Arial" w:cs="Arial"/>
                <w:b/>
                <w:bCs/>
                <w:sz w:val="20"/>
                <w:szCs w:val="20"/>
                <w:lang w:val="ru-RU" w:eastAsia="en-US" w:bidi="th-TH"/>
              </w:rPr>
              <w:t>Число мест (полное)</w:t>
            </w:r>
          </w:p>
        </w:tc>
      </w:tr>
      <w:tr w:rsidR="00320ED4" w:rsidRPr="000E2BAB" w14:paraId="0403C2A6" w14:textId="77777777" w:rsidTr="001C1D88">
        <w:trPr>
          <w:cantSplit/>
          <w:trHeight w:val="300"/>
          <w:jc w:val="center"/>
        </w:trPr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572DB" w14:textId="77777777" w:rsidR="00320ED4" w:rsidRPr="000E2BAB" w:rsidRDefault="00320ED4" w:rsidP="00320ED4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en-US" w:bidi="th-TH"/>
              </w:rPr>
            </w:pPr>
            <w:r w:rsidRPr="000E2BAB">
              <w:rPr>
                <w:rFonts w:ascii="Arial" w:hAnsi="Arial" w:cs="Arial"/>
                <w:b/>
                <w:sz w:val="20"/>
                <w:szCs w:val="20"/>
                <w:lang w:val="ru-RU" w:eastAsia="en-US" w:bidi="th-TH"/>
              </w:rPr>
              <w:t>I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4376A" w14:textId="77777777" w:rsidR="00320ED4" w:rsidRPr="000E2BAB" w:rsidRDefault="00320ED4" w:rsidP="00320ED4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ru-RU" w:eastAsia="en-US" w:bidi="th-TH"/>
              </w:rPr>
            </w:pPr>
            <w:r w:rsidRPr="000E2BAB">
              <w:rPr>
                <w:rFonts w:ascii="Arial" w:hAnsi="Arial" w:cs="Arial"/>
                <w:sz w:val="20"/>
                <w:szCs w:val="20"/>
                <w:lang w:val="ru-RU" w:eastAsia="en-US" w:bidi="th-TH"/>
              </w:rPr>
              <w:t>22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EC103" w14:textId="5B4EBD3D" w:rsidR="00320ED4" w:rsidRPr="000E2BAB" w:rsidRDefault="00320ED4" w:rsidP="00320E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E2BA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12.</w:t>
            </w:r>
            <w:r w:rsidR="000E2BAB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  <w:r w:rsidRPr="000E2BA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F7251" w14:textId="691F60BA" w:rsidR="00320ED4" w:rsidRPr="000E2BAB" w:rsidRDefault="00320ED4" w:rsidP="00320E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E2BA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2.93</w:t>
            </w:r>
          </w:p>
        </w:tc>
        <w:tc>
          <w:tcPr>
            <w:tcW w:w="1548" w:type="dxa"/>
            <w:vAlign w:val="center"/>
          </w:tcPr>
          <w:p w14:paraId="552192A6" w14:textId="77777777" w:rsidR="00320ED4" w:rsidRPr="000E2BAB" w:rsidRDefault="00320ED4" w:rsidP="00320ED4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ru-RU" w:eastAsia="en-US" w:bidi="th-TH"/>
              </w:rPr>
            </w:pPr>
            <w:r w:rsidRPr="000E2BAB">
              <w:rPr>
                <w:rFonts w:ascii="Arial" w:hAnsi="Arial" w:cs="Arial"/>
                <w:sz w:val="20"/>
                <w:szCs w:val="20"/>
                <w:lang w:val="ru-RU" w:eastAsia="en-US" w:bidi="th-TH"/>
              </w:rPr>
              <w:t>3</w:t>
            </w:r>
          </w:p>
        </w:tc>
      </w:tr>
      <w:tr w:rsidR="00320ED4" w:rsidRPr="000E2BAB" w14:paraId="65294AB4" w14:textId="77777777" w:rsidTr="001C1D88">
        <w:trPr>
          <w:cantSplit/>
          <w:trHeight w:val="300"/>
          <w:jc w:val="center"/>
        </w:trPr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F13B4" w14:textId="77777777" w:rsidR="00320ED4" w:rsidRPr="000E2BAB" w:rsidRDefault="00320ED4" w:rsidP="00320ED4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en-US" w:bidi="th-TH"/>
              </w:rPr>
            </w:pPr>
            <w:r w:rsidRPr="000E2BAB">
              <w:rPr>
                <w:rFonts w:ascii="Arial" w:hAnsi="Arial" w:cs="Arial"/>
                <w:b/>
                <w:sz w:val="20"/>
                <w:szCs w:val="20"/>
                <w:lang w:val="ru-RU" w:eastAsia="en-US" w:bidi="th-TH"/>
              </w:rPr>
              <w:t>II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3991D" w14:textId="77777777" w:rsidR="00320ED4" w:rsidRPr="000E2BAB" w:rsidRDefault="00320ED4" w:rsidP="00320ED4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ru-RU" w:eastAsia="en-US" w:bidi="th-TH"/>
              </w:rPr>
            </w:pPr>
            <w:r w:rsidRPr="000E2BAB">
              <w:rPr>
                <w:rFonts w:ascii="Arial" w:hAnsi="Arial" w:cs="Arial"/>
                <w:sz w:val="20"/>
                <w:szCs w:val="20"/>
                <w:lang w:val="ru-RU" w:eastAsia="en-US" w:bidi="th-TH"/>
              </w:rPr>
              <w:t>24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5B446" w14:textId="0681BA96" w:rsidR="00320ED4" w:rsidRPr="000E2BAB" w:rsidRDefault="00320ED4" w:rsidP="00320E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E2BA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13.</w:t>
            </w:r>
            <w:r w:rsidR="000E2BAB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  <w:r w:rsidRPr="000E2BA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18086" w14:textId="591F3476" w:rsidR="00320ED4" w:rsidRPr="000E2BAB" w:rsidRDefault="00320ED4" w:rsidP="00320E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E2BA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3.20</w:t>
            </w:r>
          </w:p>
        </w:tc>
        <w:tc>
          <w:tcPr>
            <w:tcW w:w="1548" w:type="dxa"/>
            <w:vAlign w:val="center"/>
          </w:tcPr>
          <w:p w14:paraId="670C7D21" w14:textId="77777777" w:rsidR="00320ED4" w:rsidRPr="000E2BAB" w:rsidRDefault="00320ED4" w:rsidP="00320ED4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ru-RU" w:eastAsia="en-US" w:bidi="th-TH"/>
              </w:rPr>
            </w:pPr>
            <w:r w:rsidRPr="000E2BAB">
              <w:rPr>
                <w:rFonts w:ascii="Arial" w:hAnsi="Arial" w:cs="Arial"/>
                <w:sz w:val="20"/>
                <w:szCs w:val="20"/>
                <w:lang w:val="ru-RU" w:eastAsia="en-US" w:bidi="th-TH"/>
              </w:rPr>
              <w:t>3</w:t>
            </w:r>
          </w:p>
        </w:tc>
      </w:tr>
      <w:tr w:rsidR="00320ED4" w:rsidRPr="000E2BAB" w14:paraId="50E0EE41" w14:textId="77777777" w:rsidTr="001C1D88">
        <w:trPr>
          <w:cantSplit/>
          <w:trHeight w:val="300"/>
          <w:jc w:val="center"/>
        </w:trPr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3D4EC" w14:textId="77777777" w:rsidR="00320ED4" w:rsidRPr="000E2BAB" w:rsidRDefault="00320ED4" w:rsidP="00320ED4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en-US" w:bidi="th-TH"/>
              </w:rPr>
            </w:pPr>
            <w:r w:rsidRPr="000E2BAB">
              <w:rPr>
                <w:rFonts w:ascii="Arial" w:hAnsi="Arial" w:cs="Arial"/>
                <w:b/>
                <w:sz w:val="20"/>
                <w:szCs w:val="20"/>
                <w:lang w:val="ru-RU" w:eastAsia="en-US" w:bidi="th-TH"/>
              </w:rPr>
              <w:t>III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C5368" w14:textId="77777777" w:rsidR="00320ED4" w:rsidRPr="000E2BAB" w:rsidRDefault="00320ED4" w:rsidP="00320ED4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ru-RU" w:eastAsia="en-US" w:bidi="th-TH"/>
              </w:rPr>
            </w:pPr>
            <w:r w:rsidRPr="000E2BAB">
              <w:rPr>
                <w:rFonts w:ascii="Arial" w:hAnsi="Arial" w:cs="Arial"/>
                <w:sz w:val="20"/>
                <w:szCs w:val="20"/>
                <w:lang w:val="ru-RU" w:eastAsia="en-US" w:bidi="th-TH"/>
              </w:rPr>
              <w:t>32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85F06" w14:textId="57A0A118" w:rsidR="00320ED4" w:rsidRPr="000E2BAB" w:rsidRDefault="00320ED4" w:rsidP="00320E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E2BA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17.</w:t>
            </w:r>
            <w:r w:rsidR="000E2BA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0E2BA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8%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24365" w14:textId="4CB4E907" w:rsidR="00320ED4" w:rsidRPr="000E2BAB" w:rsidRDefault="00320ED4" w:rsidP="00320E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E2BA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4.27</w:t>
            </w:r>
          </w:p>
        </w:tc>
        <w:tc>
          <w:tcPr>
            <w:tcW w:w="1548" w:type="dxa"/>
            <w:vAlign w:val="center"/>
          </w:tcPr>
          <w:p w14:paraId="065047D8" w14:textId="77777777" w:rsidR="00320ED4" w:rsidRPr="000E2BAB" w:rsidRDefault="00320ED4" w:rsidP="00320ED4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ru-RU" w:eastAsia="en-US" w:bidi="th-TH"/>
              </w:rPr>
            </w:pPr>
            <w:r w:rsidRPr="000E2BAB">
              <w:rPr>
                <w:rFonts w:ascii="Arial" w:hAnsi="Arial" w:cs="Arial"/>
                <w:sz w:val="20"/>
                <w:szCs w:val="20"/>
                <w:lang w:val="ru-RU" w:eastAsia="en-US" w:bidi="th-TH"/>
              </w:rPr>
              <w:t>4</w:t>
            </w:r>
          </w:p>
        </w:tc>
      </w:tr>
      <w:tr w:rsidR="00320ED4" w:rsidRPr="000E2BAB" w14:paraId="65070972" w14:textId="77777777" w:rsidTr="001C1D88">
        <w:trPr>
          <w:cantSplit/>
          <w:trHeight w:val="300"/>
          <w:jc w:val="center"/>
        </w:trPr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103B6" w14:textId="77777777" w:rsidR="00320ED4" w:rsidRPr="000E2BAB" w:rsidRDefault="00320ED4" w:rsidP="00320ED4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en-US" w:bidi="th-TH"/>
              </w:rPr>
            </w:pPr>
            <w:r w:rsidRPr="000E2BAB">
              <w:rPr>
                <w:rFonts w:ascii="Arial" w:hAnsi="Arial" w:cs="Arial"/>
                <w:b/>
                <w:sz w:val="20"/>
                <w:szCs w:val="20"/>
                <w:lang w:val="ru-RU" w:eastAsia="en-US" w:bidi="th-TH"/>
              </w:rPr>
              <w:t>IV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83D9F" w14:textId="77777777" w:rsidR="00320ED4" w:rsidRPr="000E2BAB" w:rsidRDefault="00320ED4" w:rsidP="00320ED4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ru-RU" w:eastAsia="en-US" w:bidi="th-TH"/>
              </w:rPr>
            </w:pPr>
            <w:r w:rsidRPr="000E2BAB">
              <w:rPr>
                <w:rFonts w:ascii="Arial" w:hAnsi="Arial" w:cs="Arial"/>
                <w:sz w:val="20"/>
                <w:szCs w:val="20"/>
                <w:lang w:val="ru-RU" w:eastAsia="en-US" w:bidi="th-TH"/>
              </w:rPr>
              <w:t>40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0FB2B" w14:textId="1DDA1949" w:rsidR="00320ED4" w:rsidRPr="000E2BAB" w:rsidRDefault="00320ED4" w:rsidP="00320E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E2BA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22.</w:t>
            </w:r>
            <w:r w:rsidR="000E2BAB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  <w:r w:rsidRPr="000E2BA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06494" w14:textId="224A6A08" w:rsidR="00320ED4" w:rsidRPr="000E2BAB" w:rsidRDefault="00320ED4" w:rsidP="00320E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E2BA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5.33</w:t>
            </w:r>
          </w:p>
        </w:tc>
        <w:tc>
          <w:tcPr>
            <w:tcW w:w="1548" w:type="dxa"/>
            <w:vAlign w:val="center"/>
          </w:tcPr>
          <w:p w14:paraId="528F784D" w14:textId="77777777" w:rsidR="00320ED4" w:rsidRPr="000E2BAB" w:rsidRDefault="00320ED4" w:rsidP="00320ED4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ru-RU" w:eastAsia="en-US" w:bidi="th-TH"/>
              </w:rPr>
            </w:pPr>
            <w:r w:rsidRPr="000E2BAB">
              <w:rPr>
                <w:rFonts w:ascii="Arial" w:hAnsi="Arial" w:cs="Arial"/>
                <w:sz w:val="20"/>
                <w:szCs w:val="20"/>
                <w:lang w:val="ru-RU" w:eastAsia="en-US" w:bidi="th-TH"/>
              </w:rPr>
              <w:t>5</w:t>
            </w:r>
          </w:p>
        </w:tc>
      </w:tr>
      <w:tr w:rsidR="00320ED4" w:rsidRPr="000E2BAB" w14:paraId="49EB3BAC" w14:textId="77777777" w:rsidTr="001C1D88">
        <w:trPr>
          <w:cantSplit/>
          <w:trHeight w:val="300"/>
          <w:jc w:val="center"/>
        </w:trPr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254B2" w14:textId="77777777" w:rsidR="00320ED4" w:rsidRPr="000E2BAB" w:rsidRDefault="00320ED4" w:rsidP="00320ED4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en-US" w:bidi="th-TH"/>
              </w:rPr>
            </w:pPr>
            <w:r w:rsidRPr="000E2BAB">
              <w:rPr>
                <w:rFonts w:ascii="Arial" w:hAnsi="Arial" w:cs="Arial"/>
                <w:b/>
                <w:sz w:val="20"/>
                <w:szCs w:val="20"/>
                <w:lang w:val="ru-RU" w:eastAsia="en-US" w:bidi="th-TH"/>
              </w:rPr>
              <w:t>V(a)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81B4A" w14:textId="0CB47939" w:rsidR="00320ED4" w:rsidRPr="000E2BAB" w:rsidRDefault="00320ED4" w:rsidP="00320ED4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ru-RU" w:eastAsia="en-US" w:bidi="th-TH"/>
              </w:rPr>
            </w:pPr>
            <w:r w:rsidRPr="000E2BAB">
              <w:rPr>
                <w:rFonts w:ascii="Arial" w:hAnsi="Arial" w:cs="Arial"/>
                <w:sz w:val="20"/>
                <w:szCs w:val="20"/>
                <w:lang w:val="ru-RU" w:eastAsia="en-US" w:bidi="th-TH"/>
              </w:rPr>
              <w:t>44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BAB90" w14:textId="3EED427C" w:rsidR="00320ED4" w:rsidRPr="000E2BAB" w:rsidRDefault="00320ED4" w:rsidP="00320E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E2BA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  <w:r w:rsidR="000E2BA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0E2BA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.</w:t>
            </w:r>
            <w:r w:rsidR="000E2BAB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  <w:r w:rsidRPr="000E2BA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1B0AC" w14:textId="74EC6763" w:rsidR="00320ED4" w:rsidRPr="000E2BAB" w:rsidRDefault="00320ED4" w:rsidP="00320E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E2BA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5.87</w:t>
            </w:r>
          </w:p>
        </w:tc>
        <w:tc>
          <w:tcPr>
            <w:tcW w:w="1548" w:type="dxa"/>
            <w:vAlign w:val="center"/>
          </w:tcPr>
          <w:p w14:paraId="75D36589" w14:textId="77777777" w:rsidR="00320ED4" w:rsidRPr="000E2BAB" w:rsidRDefault="00320ED4" w:rsidP="00320ED4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ru-RU" w:eastAsia="en-US" w:bidi="th-TH"/>
              </w:rPr>
            </w:pPr>
            <w:r w:rsidRPr="000E2BAB">
              <w:rPr>
                <w:rFonts w:ascii="Arial" w:hAnsi="Arial" w:cs="Arial"/>
                <w:sz w:val="20"/>
                <w:szCs w:val="20"/>
                <w:lang w:val="ru-RU" w:eastAsia="en-US" w:bidi="th-TH"/>
              </w:rPr>
              <w:t>6</w:t>
            </w:r>
          </w:p>
        </w:tc>
      </w:tr>
      <w:tr w:rsidR="00320ED4" w:rsidRPr="000E2BAB" w14:paraId="17469471" w14:textId="77777777" w:rsidTr="001C1D88">
        <w:trPr>
          <w:cantSplit/>
          <w:trHeight w:val="300"/>
          <w:jc w:val="center"/>
        </w:trPr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D0C79" w14:textId="77777777" w:rsidR="00320ED4" w:rsidRPr="000E2BAB" w:rsidRDefault="00320ED4" w:rsidP="00320ED4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en-US" w:bidi="th-TH"/>
              </w:rPr>
            </w:pPr>
            <w:r w:rsidRPr="000E2BAB">
              <w:rPr>
                <w:rFonts w:ascii="Arial" w:hAnsi="Arial" w:cs="Arial"/>
                <w:b/>
                <w:sz w:val="20"/>
                <w:szCs w:val="20"/>
                <w:lang w:val="ru-RU" w:eastAsia="en-US" w:bidi="th-TH"/>
              </w:rPr>
              <w:t>V(b)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479BC" w14:textId="77777777" w:rsidR="00320ED4" w:rsidRPr="000E2BAB" w:rsidRDefault="00320ED4" w:rsidP="00320ED4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ru-RU" w:eastAsia="en-US" w:bidi="th-TH"/>
              </w:rPr>
            </w:pPr>
            <w:r w:rsidRPr="000E2BAB">
              <w:rPr>
                <w:rFonts w:ascii="Arial" w:hAnsi="Arial" w:cs="Arial"/>
                <w:sz w:val="20"/>
                <w:szCs w:val="20"/>
                <w:lang w:val="ru-RU" w:eastAsia="en-US" w:bidi="th-TH"/>
              </w:rPr>
              <w:t>18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F2432" w14:textId="40F64BD5" w:rsidR="00320ED4" w:rsidRPr="000E2BAB" w:rsidRDefault="00320ED4" w:rsidP="00320E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E2BA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10.</w:t>
            </w:r>
            <w:r w:rsidR="000E2BAB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 w:rsidRPr="000E2BA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C7897" w14:textId="43B5EAB7" w:rsidR="00320ED4" w:rsidRPr="000E2BAB" w:rsidRDefault="00320ED4" w:rsidP="00320E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E2BA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2.40</w:t>
            </w:r>
          </w:p>
        </w:tc>
        <w:tc>
          <w:tcPr>
            <w:tcW w:w="1548" w:type="dxa"/>
            <w:vAlign w:val="center"/>
          </w:tcPr>
          <w:p w14:paraId="1D7B1E50" w14:textId="77777777" w:rsidR="00320ED4" w:rsidRPr="000E2BAB" w:rsidRDefault="00320ED4" w:rsidP="00320ED4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ru-RU" w:eastAsia="en-US" w:bidi="th-TH"/>
              </w:rPr>
            </w:pPr>
            <w:r w:rsidRPr="000E2BAB">
              <w:rPr>
                <w:rFonts w:ascii="Arial" w:hAnsi="Arial" w:cs="Arial"/>
                <w:sz w:val="20"/>
                <w:szCs w:val="20"/>
                <w:lang w:val="ru-RU" w:eastAsia="en-US" w:bidi="th-TH"/>
              </w:rPr>
              <w:t>3</w:t>
            </w:r>
          </w:p>
        </w:tc>
      </w:tr>
      <w:tr w:rsidR="008B713F" w:rsidRPr="000E2BAB" w14:paraId="0374D767" w14:textId="77777777" w:rsidTr="001C1D88">
        <w:trPr>
          <w:cantSplit/>
          <w:trHeight w:val="300"/>
          <w:jc w:val="center"/>
        </w:trPr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9816E" w14:textId="7494627E" w:rsidR="008B713F" w:rsidRPr="000E2BAB" w:rsidRDefault="000E6DAC" w:rsidP="000E6DA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en-US" w:bidi="th-TH"/>
              </w:rPr>
            </w:pPr>
            <w:r w:rsidRPr="000E2BAB">
              <w:rPr>
                <w:rFonts w:ascii="Arial" w:hAnsi="Arial" w:cs="Arial"/>
                <w:b/>
                <w:sz w:val="20"/>
                <w:szCs w:val="20"/>
                <w:lang w:val="ru-RU" w:eastAsia="en-US" w:bidi="th-TH"/>
              </w:rPr>
              <w:t>Итого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70C4A" w14:textId="19350AA9" w:rsidR="008B713F" w:rsidRPr="000E2BAB" w:rsidRDefault="002916A7" w:rsidP="0074719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en-US" w:bidi="th-TH"/>
              </w:rPr>
            </w:pPr>
            <w:r w:rsidRPr="000E2BAB">
              <w:rPr>
                <w:rFonts w:ascii="Arial" w:hAnsi="Arial" w:cs="Arial"/>
                <w:b/>
                <w:sz w:val="20"/>
                <w:szCs w:val="20"/>
                <w:lang w:val="ru-RU" w:eastAsia="en-US" w:bidi="th-TH"/>
              </w:rPr>
              <w:t>1</w:t>
            </w:r>
            <w:r w:rsidR="002A3DD2" w:rsidRPr="000E2BAB">
              <w:rPr>
                <w:rFonts w:ascii="Arial" w:hAnsi="Arial" w:cs="Arial"/>
                <w:b/>
                <w:sz w:val="20"/>
                <w:szCs w:val="20"/>
                <w:lang w:val="ru-RU" w:eastAsia="en-US" w:bidi="th-TH"/>
              </w:rPr>
              <w:t>8</w:t>
            </w:r>
            <w:r w:rsidR="00320ED4" w:rsidRPr="000E2BAB">
              <w:rPr>
                <w:rFonts w:ascii="Arial" w:hAnsi="Arial" w:cs="Arial"/>
                <w:b/>
                <w:sz w:val="20"/>
                <w:szCs w:val="20"/>
                <w:lang w:val="ru-RU" w:eastAsia="en-US" w:bidi="th-TH"/>
              </w:rPr>
              <w:t>0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F369F" w14:textId="77777777" w:rsidR="008B713F" w:rsidRPr="000E2BAB" w:rsidRDefault="008B713F" w:rsidP="00445A1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en-US" w:bidi="th-TH"/>
              </w:rPr>
            </w:pPr>
            <w:r w:rsidRPr="000E2BAB">
              <w:rPr>
                <w:rFonts w:ascii="Arial" w:hAnsi="Arial" w:cs="Arial"/>
                <w:b/>
                <w:sz w:val="20"/>
                <w:szCs w:val="20"/>
                <w:lang w:val="ru-RU" w:eastAsia="en-US" w:bidi="th-TH"/>
              </w:rPr>
              <w:t>100.00%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F2D07" w14:textId="77777777" w:rsidR="008B713F" w:rsidRPr="000E2BAB" w:rsidRDefault="008B713F" w:rsidP="00445A1D">
            <w:pPr>
              <w:tabs>
                <w:tab w:val="left" w:pos="1050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en-US" w:bidi="th-TH"/>
              </w:rPr>
            </w:pPr>
            <w:r w:rsidRPr="000E2BAB">
              <w:rPr>
                <w:rFonts w:ascii="Arial" w:hAnsi="Arial" w:cs="Arial"/>
                <w:b/>
                <w:sz w:val="20"/>
                <w:szCs w:val="20"/>
                <w:lang w:val="ru-RU" w:eastAsia="en-US" w:bidi="th-TH"/>
              </w:rPr>
              <w:t>24</w:t>
            </w:r>
          </w:p>
        </w:tc>
        <w:tc>
          <w:tcPr>
            <w:tcW w:w="1548" w:type="dxa"/>
            <w:vAlign w:val="center"/>
          </w:tcPr>
          <w:p w14:paraId="30DF5962" w14:textId="77777777" w:rsidR="008B713F" w:rsidRPr="000E2BAB" w:rsidRDefault="008B713F" w:rsidP="00445A1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en-US" w:bidi="th-TH"/>
              </w:rPr>
            </w:pPr>
            <w:r w:rsidRPr="000E2BAB">
              <w:rPr>
                <w:rFonts w:ascii="Arial" w:hAnsi="Arial" w:cs="Arial"/>
                <w:b/>
                <w:sz w:val="20"/>
                <w:szCs w:val="20"/>
                <w:lang w:val="ru-RU" w:eastAsia="en-US" w:bidi="th-TH"/>
              </w:rPr>
              <w:t>24</w:t>
            </w:r>
          </w:p>
        </w:tc>
      </w:tr>
    </w:tbl>
    <w:p w14:paraId="347832E1" w14:textId="57D64D97" w:rsidR="008B713F" w:rsidRPr="000E2BAB" w:rsidRDefault="000E6DAC" w:rsidP="009B58CF">
      <w:pPr>
        <w:pStyle w:val="GAPara"/>
        <w:spacing w:before="360"/>
        <w:rPr>
          <w:lang w:val="ru-RU"/>
        </w:rPr>
      </w:pPr>
      <w:r w:rsidRPr="000E2BAB">
        <w:rPr>
          <w:lang w:val="ru-RU"/>
        </w:rPr>
        <w:t>Генеральной ассамблее предлагается принять резолюцию следующего содержания</w:t>
      </w:r>
      <w:r w:rsidR="008B713F" w:rsidRPr="000E2BAB">
        <w:rPr>
          <w:lang w:val="ru-RU"/>
        </w:rPr>
        <w:t>:</w:t>
      </w:r>
    </w:p>
    <w:p w14:paraId="0244BEE1" w14:textId="7F59731B" w:rsidR="008B713F" w:rsidRPr="000E2BAB" w:rsidRDefault="00DE428E" w:rsidP="008B713F">
      <w:pPr>
        <w:pStyle w:val="GATitleResolution"/>
        <w:spacing w:before="360"/>
        <w:rPr>
          <w:rFonts w:eastAsia="SimSun"/>
          <w:lang w:val="ru-RU"/>
        </w:rPr>
      </w:pPr>
      <w:r w:rsidRPr="000E2BAB">
        <w:rPr>
          <w:lang w:val="ru-RU"/>
        </w:rPr>
        <w:t>ПРОЕКТ РЕЗОЛЮЦИИ</w:t>
      </w:r>
      <w:r w:rsidR="00EB6598" w:rsidRPr="000E2BAB">
        <w:rPr>
          <w:lang w:val="ru-RU"/>
        </w:rPr>
        <w:t xml:space="preserve"> </w:t>
      </w:r>
      <w:r w:rsidR="00320ED4" w:rsidRPr="000E2BAB">
        <w:rPr>
          <w:lang w:val="ru-RU"/>
        </w:rPr>
        <w:t>9</w:t>
      </w:r>
      <w:r w:rsidR="008B713F" w:rsidRPr="000E2BAB">
        <w:rPr>
          <w:lang w:val="ru-RU"/>
        </w:rPr>
        <w:t>.GA 4</w:t>
      </w:r>
    </w:p>
    <w:p w14:paraId="225B68C0" w14:textId="1AB83045" w:rsidR="008B713F" w:rsidRPr="000E2BAB" w:rsidRDefault="00DE428E" w:rsidP="008B713F">
      <w:pPr>
        <w:spacing w:before="240" w:after="120"/>
        <w:ind w:left="1134" w:hanging="567"/>
        <w:jc w:val="both"/>
        <w:rPr>
          <w:rFonts w:ascii="Arial" w:eastAsia="SimSun" w:hAnsi="Arial" w:cs="Arial"/>
          <w:sz w:val="22"/>
          <w:szCs w:val="22"/>
          <w:lang w:val="ru-RU"/>
        </w:rPr>
      </w:pPr>
      <w:r w:rsidRPr="000E2BAB">
        <w:rPr>
          <w:rFonts w:ascii="Arial" w:eastAsia="SimSun" w:hAnsi="Arial" w:cs="Arial"/>
          <w:sz w:val="22"/>
          <w:szCs w:val="22"/>
          <w:lang w:val="ru-RU"/>
        </w:rPr>
        <w:t>Генеральная ассамблея</w:t>
      </w:r>
      <w:r w:rsidR="008B713F" w:rsidRPr="000E2BAB">
        <w:rPr>
          <w:rFonts w:ascii="Arial" w:eastAsia="SimSun" w:hAnsi="Arial" w:cs="Arial"/>
          <w:sz w:val="22"/>
          <w:szCs w:val="22"/>
          <w:lang w:val="ru-RU"/>
        </w:rPr>
        <w:t>,</w:t>
      </w:r>
    </w:p>
    <w:p w14:paraId="27CE4B45" w14:textId="31020B74" w:rsidR="008B713F" w:rsidRPr="000E2BAB" w:rsidRDefault="008B713F" w:rsidP="008B713F">
      <w:pPr>
        <w:spacing w:before="120" w:after="120"/>
        <w:ind w:left="1134" w:hanging="567"/>
        <w:jc w:val="both"/>
        <w:rPr>
          <w:rFonts w:ascii="Arial" w:eastAsia="SimSun" w:hAnsi="Arial" w:cs="Arial"/>
          <w:sz w:val="22"/>
          <w:szCs w:val="22"/>
          <w:lang w:val="ru-RU"/>
        </w:rPr>
      </w:pPr>
      <w:r w:rsidRPr="000E2BAB">
        <w:rPr>
          <w:rFonts w:ascii="Arial" w:eastAsia="SimSun" w:hAnsi="Arial" w:cs="Arial"/>
          <w:sz w:val="22"/>
          <w:szCs w:val="22"/>
          <w:lang w:val="ru-RU"/>
        </w:rPr>
        <w:t>1.</w:t>
      </w:r>
      <w:r w:rsidRPr="000E2BAB">
        <w:rPr>
          <w:rFonts w:ascii="Arial" w:eastAsia="SimSun" w:hAnsi="Arial" w:cs="Arial"/>
          <w:sz w:val="22"/>
          <w:szCs w:val="22"/>
          <w:lang w:val="ru-RU"/>
        </w:rPr>
        <w:tab/>
      </w:r>
      <w:r w:rsidR="00DE428E" w:rsidRPr="000E2BAB">
        <w:rPr>
          <w:rFonts w:ascii="Arial" w:eastAsia="SimSun" w:hAnsi="Arial" w:cs="Arial"/>
          <w:sz w:val="22"/>
          <w:szCs w:val="22"/>
          <w:u w:val="single"/>
          <w:lang w:val="ru-RU"/>
        </w:rPr>
        <w:t>Рассмотрев</w:t>
      </w:r>
      <w:r w:rsidR="00EB6598" w:rsidRPr="000E2BAB">
        <w:rPr>
          <w:rFonts w:ascii="Arial" w:eastAsia="SimSun" w:hAnsi="Arial" w:cs="Arial"/>
          <w:sz w:val="22"/>
          <w:szCs w:val="22"/>
          <w:lang w:val="ru-RU"/>
        </w:rPr>
        <w:t xml:space="preserve"> </w:t>
      </w:r>
      <w:r w:rsidR="00DE428E" w:rsidRPr="000E2BAB">
        <w:rPr>
          <w:rFonts w:ascii="Arial" w:eastAsia="SimSun" w:hAnsi="Arial" w:cs="Arial"/>
          <w:sz w:val="22"/>
          <w:szCs w:val="22"/>
          <w:lang w:val="ru-RU"/>
        </w:rPr>
        <w:t>документ</w:t>
      </w:r>
      <w:r w:rsidR="00EB6598" w:rsidRPr="000E2BAB">
        <w:rPr>
          <w:rFonts w:ascii="Arial" w:eastAsia="SimSun" w:hAnsi="Arial" w:cs="Arial"/>
          <w:sz w:val="22"/>
          <w:szCs w:val="22"/>
          <w:lang w:val="ru-RU"/>
        </w:rPr>
        <w:t xml:space="preserve"> LHE/2</w:t>
      </w:r>
      <w:r w:rsidR="000E2BAB" w:rsidRPr="009B58CF">
        <w:rPr>
          <w:rFonts w:ascii="Arial" w:eastAsia="SimSun" w:hAnsi="Arial" w:cs="Arial"/>
          <w:sz w:val="22"/>
          <w:szCs w:val="22"/>
          <w:lang w:val="ru-RU"/>
        </w:rPr>
        <w:t>2</w:t>
      </w:r>
      <w:r w:rsidRPr="000E2BAB">
        <w:rPr>
          <w:rFonts w:ascii="Arial" w:eastAsia="SimSun" w:hAnsi="Arial" w:cs="Arial"/>
          <w:sz w:val="22"/>
          <w:szCs w:val="22"/>
          <w:lang w:val="ru-RU"/>
        </w:rPr>
        <w:t>/</w:t>
      </w:r>
      <w:r w:rsidR="000E2BAB" w:rsidRPr="009B58CF">
        <w:rPr>
          <w:rFonts w:ascii="Arial" w:eastAsia="SimSun" w:hAnsi="Arial" w:cs="Arial"/>
          <w:sz w:val="22"/>
          <w:szCs w:val="22"/>
          <w:lang w:val="ru-RU"/>
        </w:rPr>
        <w:t>9</w:t>
      </w:r>
      <w:r w:rsidRPr="000E2BAB">
        <w:rPr>
          <w:rFonts w:ascii="Arial" w:eastAsia="SimSun" w:hAnsi="Arial" w:cs="Arial"/>
          <w:sz w:val="22"/>
          <w:szCs w:val="22"/>
          <w:lang w:val="ru-RU"/>
        </w:rPr>
        <w:t>.GA/4,</w:t>
      </w:r>
    </w:p>
    <w:p w14:paraId="302A656B" w14:textId="5C273329" w:rsidR="008B713F" w:rsidRPr="000E2BAB" w:rsidRDefault="008B713F" w:rsidP="008B713F">
      <w:pPr>
        <w:spacing w:before="120" w:after="120"/>
        <w:ind w:left="1134" w:hanging="567"/>
        <w:jc w:val="both"/>
        <w:rPr>
          <w:rFonts w:ascii="Arial" w:eastAsia="SimSun" w:hAnsi="Arial" w:cs="Arial"/>
          <w:sz w:val="22"/>
          <w:szCs w:val="22"/>
          <w:lang w:val="ru-RU"/>
        </w:rPr>
      </w:pPr>
      <w:r w:rsidRPr="000E2BAB">
        <w:rPr>
          <w:rFonts w:ascii="Arial" w:eastAsia="SimSun" w:hAnsi="Arial" w:cs="Arial"/>
          <w:sz w:val="22"/>
          <w:szCs w:val="22"/>
          <w:lang w:val="ru-RU"/>
        </w:rPr>
        <w:t>2.</w:t>
      </w:r>
      <w:r w:rsidRPr="000E2BAB">
        <w:rPr>
          <w:rFonts w:ascii="Arial" w:eastAsia="SimSun" w:hAnsi="Arial" w:cs="Arial"/>
          <w:sz w:val="22"/>
          <w:szCs w:val="22"/>
          <w:lang w:val="ru-RU"/>
        </w:rPr>
        <w:tab/>
      </w:r>
      <w:r w:rsidR="00DE428E" w:rsidRPr="000E2BAB">
        <w:rPr>
          <w:rFonts w:ascii="Arial" w:eastAsia="SimSun" w:hAnsi="Arial" w:cs="Arial"/>
          <w:sz w:val="22"/>
          <w:szCs w:val="22"/>
          <w:u w:val="single"/>
          <w:lang w:val="ru-RU"/>
        </w:rPr>
        <w:t>Ссылаясь</w:t>
      </w:r>
      <w:r w:rsidRPr="000E2BAB">
        <w:rPr>
          <w:rFonts w:ascii="Arial" w:eastAsia="SimSun" w:hAnsi="Arial" w:cs="Arial"/>
          <w:sz w:val="22"/>
          <w:szCs w:val="22"/>
          <w:lang w:val="ru-RU"/>
        </w:rPr>
        <w:t xml:space="preserve"> </w:t>
      </w:r>
      <w:r w:rsidR="00DE428E" w:rsidRPr="000E2BAB">
        <w:rPr>
          <w:rFonts w:ascii="Arial" w:eastAsia="SimSun" w:hAnsi="Arial" w:cs="Arial"/>
          <w:sz w:val="22"/>
          <w:szCs w:val="22"/>
          <w:lang w:val="ru-RU"/>
        </w:rPr>
        <w:t>на статью 6 Конвенции</w:t>
      </w:r>
      <w:r w:rsidRPr="000E2BAB">
        <w:rPr>
          <w:rFonts w:ascii="Arial" w:eastAsia="SimSun" w:hAnsi="Arial" w:cs="Arial"/>
          <w:sz w:val="22"/>
          <w:szCs w:val="22"/>
          <w:lang w:val="ru-RU"/>
        </w:rPr>
        <w:t>,</w:t>
      </w:r>
    </w:p>
    <w:p w14:paraId="65817B0F" w14:textId="0FB9A47A" w:rsidR="008B713F" w:rsidRPr="000E2BAB" w:rsidRDefault="008B713F" w:rsidP="008B713F">
      <w:pPr>
        <w:spacing w:before="120" w:after="120"/>
        <w:ind w:left="1134" w:hanging="567"/>
        <w:jc w:val="both"/>
        <w:rPr>
          <w:rFonts w:ascii="Arial" w:eastAsia="SimSun" w:hAnsi="Arial" w:cs="Arial"/>
          <w:sz w:val="22"/>
          <w:szCs w:val="22"/>
          <w:lang w:val="ru-RU"/>
        </w:rPr>
      </w:pPr>
      <w:r w:rsidRPr="000E2BAB">
        <w:rPr>
          <w:rFonts w:ascii="Arial" w:eastAsia="SimSun" w:hAnsi="Arial" w:cs="Arial"/>
          <w:sz w:val="22"/>
          <w:szCs w:val="22"/>
          <w:lang w:val="ru-RU"/>
        </w:rPr>
        <w:t>3.</w:t>
      </w:r>
      <w:r w:rsidRPr="000E2BAB">
        <w:rPr>
          <w:rFonts w:ascii="Arial" w:eastAsia="SimSun" w:hAnsi="Arial" w:cs="Arial"/>
          <w:sz w:val="22"/>
          <w:szCs w:val="22"/>
          <w:lang w:val="ru-RU"/>
        </w:rPr>
        <w:tab/>
      </w:r>
      <w:r w:rsidR="00DE428E" w:rsidRPr="000E2BAB">
        <w:rPr>
          <w:rFonts w:ascii="Arial" w:eastAsia="SimSun" w:hAnsi="Arial" w:cs="Arial"/>
          <w:sz w:val="22"/>
          <w:szCs w:val="22"/>
          <w:u w:val="single"/>
          <w:lang w:val="ru-RU"/>
        </w:rPr>
        <w:t>Ссылаясь также</w:t>
      </w:r>
      <w:r w:rsidRPr="000E2BAB">
        <w:rPr>
          <w:rFonts w:ascii="Arial" w:eastAsia="SimSun" w:hAnsi="Arial" w:cs="Arial"/>
          <w:sz w:val="22"/>
          <w:szCs w:val="22"/>
          <w:lang w:val="ru-RU"/>
        </w:rPr>
        <w:t xml:space="preserve"> </w:t>
      </w:r>
      <w:r w:rsidR="00DE428E" w:rsidRPr="000E2BAB">
        <w:rPr>
          <w:rFonts w:ascii="Arial" w:eastAsia="SimSun" w:hAnsi="Arial" w:cs="Arial"/>
          <w:sz w:val="22"/>
          <w:szCs w:val="22"/>
          <w:lang w:val="ru-RU"/>
        </w:rPr>
        <w:t>на статью</w:t>
      </w:r>
      <w:r w:rsidRPr="000E2BAB">
        <w:rPr>
          <w:rFonts w:ascii="Arial" w:eastAsia="SimSun" w:hAnsi="Arial" w:cs="Arial"/>
          <w:sz w:val="22"/>
          <w:szCs w:val="22"/>
          <w:lang w:val="ru-RU"/>
        </w:rPr>
        <w:t xml:space="preserve"> 13 </w:t>
      </w:r>
      <w:r w:rsidR="00DE428E" w:rsidRPr="000E2BAB">
        <w:rPr>
          <w:rFonts w:ascii="Arial" w:eastAsia="SimSun" w:hAnsi="Arial" w:cs="Arial"/>
          <w:sz w:val="22"/>
          <w:szCs w:val="22"/>
          <w:lang w:val="ru-RU"/>
        </w:rPr>
        <w:t xml:space="preserve">Правил процедуры и </w:t>
      </w:r>
      <w:hyperlink r:id="rId10" w:history="1">
        <w:r w:rsidR="00DE428E" w:rsidRPr="000E2BAB">
          <w:rPr>
            <w:rStyle w:val="Hyperlink"/>
            <w:rFonts w:ascii="Arial" w:eastAsia="SimSun" w:hAnsi="Arial" w:cs="Arial"/>
            <w:sz w:val="22"/>
            <w:szCs w:val="22"/>
            <w:lang w:val="ru-RU"/>
          </w:rPr>
          <w:t xml:space="preserve">резолюцию </w:t>
        </w:r>
        <w:r w:rsidRPr="000E2BAB">
          <w:rPr>
            <w:rStyle w:val="Hyperlink"/>
            <w:rFonts w:ascii="Arial" w:eastAsia="SimSun" w:hAnsi="Arial" w:cs="Arial"/>
            <w:sz w:val="22"/>
            <w:szCs w:val="22"/>
            <w:lang w:val="ru-RU"/>
          </w:rPr>
          <w:t>3.GA 12</w:t>
        </w:r>
      </w:hyperlink>
      <w:r w:rsidRPr="000E2BAB">
        <w:rPr>
          <w:rFonts w:ascii="Arial" w:eastAsia="SimSun" w:hAnsi="Arial" w:cs="Arial"/>
          <w:sz w:val="22"/>
          <w:szCs w:val="22"/>
          <w:lang w:val="ru-RU"/>
        </w:rPr>
        <w:t>,</w:t>
      </w:r>
    </w:p>
    <w:p w14:paraId="335AC957" w14:textId="497AC6A2" w:rsidR="008B713F" w:rsidRPr="000E2BAB" w:rsidRDefault="008B713F" w:rsidP="00642A7D">
      <w:pPr>
        <w:spacing w:before="120" w:after="120"/>
        <w:ind w:left="1134" w:hanging="567"/>
        <w:jc w:val="both"/>
        <w:rPr>
          <w:lang w:val="ru-RU"/>
        </w:rPr>
      </w:pPr>
      <w:r w:rsidRPr="000E2BAB">
        <w:rPr>
          <w:rFonts w:ascii="Arial" w:eastAsia="SimSun" w:hAnsi="Arial" w:cs="Arial"/>
          <w:sz w:val="22"/>
          <w:szCs w:val="22"/>
          <w:lang w:val="ru-RU"/>
        </w:rPr>
        <w:t>4.</w:t>
      </w:r>
      <w:r w:rsidRPr="000E2BAB">
        <w:rPr>
          <w:rFonts w:ascii="Arial" w:eastAsia="SimSun" w:hAnsi="Arial" w:cs="Arial"/>
          <w:sz w:val="22"/>
          <w:szCs w:val="22"/>
          <w:lang w:val="ru-RU"/>
        </w:rPr>
        <w:tab/>
      </w:r>
      <w:r w:rsidR="002E63F8" w:rsidRPr="000E2BAB">
        <w:rPr>
          <w:rFonts w:ascii="Arial" w:eastAsia="SimSun" w:hAnsi="Arial" w:cs="Arial"/>
          <w:sz w:val="22"/>
          <w:szCs w:val="22"/>
          <w:u w:val="single"/>
          <w:lang w:val="ru-RU"/>
        </w:rPr>
        <w:t>Постановляет,</w:t>
      </w:r>
      <w:r w:rsidRPr="000E2BAB">
        <w:rPr>
          <w:rFonts w:ascii="Arial" w:eastAsia="SimSun" w:hAnsi="Arial" w:cs="Arial"/>
          <w:sz w:val="22"/>
          <w:szCs w:val="22"/>
          <w:lang w:val="ru-RU"/>
        </w:rPr>
        <w:t xml:space="preserve"> </w:t>
      </w:r>
      <w:r w:rsidR="002E63F8" w:rsidRPr="000E2BAB">
        <w:rPr>
          <w:rFonts w:ascii="Arial" w:eastAsia="SimSun" w:hAnsi="Arial" w:cs="Arial"/>
          <w:sz w:val="22"/>
          <w:szCs w:val="22"/>
          <w:lang w:val="ru-RU"/>
        </w:rPr>
        <w:t xml:space="preserve">что для целей проведения выборов на ее </w:t>
      </w:r>
      <w:r w:rsidR="00320ED4" w:rsidRPr="000E2BAB">
        <w:rPr>
          <w:rFonts w:ascii="Arial" w:eastAsia="SimSun" w:hAnsi="Arial" w:cs="Arial"/>
          <w:sz w:val="22"/>
          <w:szCs w:val="22"/>
          <w:lang w:val="ru-RU"/>
        </w:rPr>
        <w:t>девят</w:t>
      </w:r>
      <w:r w:rsidR="002E63F8" w:rsidRPr="000E2BAB">
        <w:rPr>
          <w:rFonts w:ascii="Arial" w:eastAsia="SimSun" w:hAnsi="Arial" w:cs="Arial"/>
          <w:sz w:val="22"/>
          <w:szCs w:val="22"/>
          <w:lang w:val="ru-RU"/>
        </w:rPr>
        <w:t xml:space="preserve">ой сессии </w:t>
      </w:r>
      <w:r w:rsidR="00320ED4" w:rsidRPr="000E2BAB">
        <w:rPr>
          <w:rFonts w:ascii="Arial" w:eastAsia="SimSun" w:hAnsi="Arial" w:cs="Arial"/>
          <w:sz w:val="22"/>
          <w:szCs w:val="22"/>
          <w:lang w:val="ru-RU"/>
        </w:rPr>
        <w:t>двадцать четыре</w:t>
      </w:r>
      <w:r w:rsidR="002E63F8" w:rsidRPr="000E2BAB">
        <w:rPr>
          <w:rFonts w:ascii="Arial" w:eastAsia="SimSun" w:hAnsi="Arial" w:cs="Arial"/>
          <w:sz w:val="22"/>
          <w:szCs w:val="22"/>
          <w:lang w:val="ru-RU"/>
        </w:rPr>
        <w:t xml:space="preserve"> места в Комитете распределяются между избирательными группами следующим образом: Группа </w:t>
      </w:r>
      <w:r w:rsidRPr="000E2BAB">
        <w:rPr>
          <w:rFonts w:ascii="Arial" w:eastAsia="SimSun" w:hAnsi="Arial" w:cs="Arial"/>
          <w:sz w:val="22"/>
          <w:szCs w:val="22"/>
          <w:lang w:val="ru-RU"/>
        </w:rPr>
        <w:t>I</w:t>
      </w:r>
      <w:r w:rsidR="002E63F8" w:rsidRPr="000E2BAB">
        <w:rPr>
          <w:rFonts w:ascii="Arial" w:eastAsia="SimSun" w:hAnsi="Arial" w:cs="Arial"/>
          <w:sz w:val="22"/>
          <w:szCs w:val="22"/>
          <w:lang w:val="ru-RU"/>
        </w:rPr>
        <w:t>: три места; Группа</w:t>
      </w:r>
      <w:r w:rsidR="00EB6598" w:rsidRPr="000E2BAB">
        <w:rPr>
          <w:rFonts w:ascii="Arial" w:eastAsia="SimSun" w:hAnsi="Arial" w:cs="Arial"/>
          <w:sz w:val="22"/>
          <w:szCs w:val="22"/>
          <w:lang w:val="ru-RU"/>
        </w:rPr>
        <w:t xml:space="preserve"> II</w:t>
      </w:r>
      <w:r w:rsidR="002E63F8" w:rsidRPr="000E2BAB">
        <w:rPr>
          <w:rFonts w:ascii="Arial" w:eastAsia="SimSun" w:hAnsi="Arial" w:cs="Arial"/>
          <w:sz w:val="22"/>
          <w:szCs w:val="22"/>
          <w:lang w:val="ru-RU"/>
        </w:rPr>
        <w:t>: три места; Группа</w:t>
      </w:r>
      <w:r w:rsidR="00EB6598" w:rsidRPr="000E2BAB">
        <w:rPr>
          <w:rFonts w:ascii="Arial" w:eastAsia="SimSun" w:hAnsi="Arial" w:cs="Arial"/>
          <w:sz w:val="22"/>
          <w:szCs w:val="22"/>
          <w:lang w:val="ru-RU"/>
        </w:rPr>
        <w:t xml:space="preserve"> III</w:t>
      </w:r>
      <w:r w:rsidR="002E63F8" w:rsidRPr="000E2BAB">
        <w:rPr>
          <w:rFonts w:ascii="Arial" w:eastAsia="SimSun" w:hAnsi="Arial" w:cs="Arial"/>
          <w:sz w:val="22"/>
          <w:szCs w:val="22"/>
          <w:lang w:val="ru-RU"/>
        </w:rPr>
        <w:t>: четыре места</w:t>
      </w:r>
      <w:r w:rsidR="00EB6598" w:rsidRPr="000E2BAB">
        <w:rPr>
          <w:rFonts w:ascii="Arial" w:eastAsia="SimSun" w:hAnsi="Arial" w:cs="Arial"/>
          <w:sz w:val="22"/>
          <w:szCs w:val="22"/>
          <w:lang w:val="ru-RU"/>
        </w:rPr>
        <w:t xml:space="preserve">; </w:t>
      </w:r>
      <w:r w:rsidR="002E63F8" w:rsidRPr="000E2BAB">
        <w:rPr>
          <w:rFonts w:ascii="Arial" w:eastAsia="SimSun" w:hAnsi="Arial" w:cs="Arial"/>
          <w:sz w:val="22"/>
          <w:szCs w:val="22"/>
          <w:lang w:val="ru-RU"/>
        </w:rPr>
        <w:t>Группа</w:t>
      </w:r>
      <w:r w:rsidR="00EB6598" w:rsidRPr="000E2BAB">
        <w:rPr>
          <w:rFonts w:ascii="Arial" w:eastAsia="SimSun" w:hAnsi="Arial" w:cs="Arial"/>
          <w:sz w:val="22"/>
          <w:szCs w:val="22"/>
          <w:lang w:val="ru-RU"/>
        </w:rPr>
        <w:t xml:space="preserve"> IV</w:t>
      </w:r>
      <w:r w:rsidR="002E63F8" w:rsidRPr="000E2BAB">
        <w:rPr>
          <w:rFonts w:ascii="Arial" w:eastAsia="SimSun" w:hAnsi="Arial" w:cs="Arial"/>
          <w:sz w:val="22"/>
          <w:szCs w:val="22"/>
          <w:lang w:val="ru-RU"/>
        </w:rPr>
        <w:t>: пять мест</w:t>
      </w:r>
      <w:r w:rsidR="00EB6598" w:rsidRPr="000E2BAB">
        <w:rPr>
          <w:rFonts w:ascii="Arial" w:eastAsia="SimSun" w:hAnsi="Arial" w:cs="Arial"/>
          <w:sz w:val="22"/>
          <w:szCs w:val="22"/>
          <w:lang w:val="ru-RU"/>
        </w:rPr>
        <w:t xml:space="preserve">; </w:t>
      </w:r>
      <w:r w:rsidR="002E63F8" w:rsidRPr="000E2BAB">
        <w:rPr>
          <w:rFonts w:ascii="Arial" w:eastAsia="SimSun" w:hAnsi="Arial" w:cs="Arial"/>
          <w:sz w:val="22"/>
          <w:szCs w:val="22"/>
          <w:lang w:val="ru-RU"/>
        </w:rPr>
        <w:t>Группа</w:t>
      </w:r>
      <w:r w:rsidR="00EB6598" w:rsidRPr="000E2BAB">
        <w:rPr>
          <w:rFonts w:ascii="Arial" w:eastAsia="SimSun" w:hAnsi="Arial" w:cs="Arial"/>
          <w:sz w:val="22"/>
          <w:szCs w:val="22"/>
          <w:lang w:val="ru-RU"/>
        </w:rPr>
        <w:t xml:space="preserve"> V(a)</w:t>
      </w:r>
      <w:r w:rsidR="002E63F8" w:rsidRPr="000E2BAB">
        <w:rPr>
          <w:rFonts w:ascii="Arial" w:eastAsia="SimSun" w:hAnsi="Arial" w:cs="Arial"/>
          <w:sz w:val="22"/>
          <w:szCs w:val="22"/>
          <w:lang w:val="ru-RU"/>
        </w:rPr>
        <w:t>: шесть мест</w:t>
      </w:r>
      <w:r w:rsidR="00EB6598" w:rsidRPr="000E2BAB">
        <w:rPr>
          <w:rFonts w:ascii="Arial" w:eastAsia="SimSun" w:hAnsi="Arial" w:cs="Arial"/>
          <w:sz w:val="22"/>
          <w:szCs w:val="22"/>
          <w:lang w:val="ru-RU"/>
        </w:rPr>
        <w:t xml:space="preserve">; </w:t>
      </w:r>
      <w:r w:rsidR="002E63F8" w:rsidRPr="000E2BAB">
        <w:rPr>
          <w:rFonts w:ascii="Arial" w:eastAsia="SimSun" w:hAnsi="Arial" w:cs="Arial"/>
          <w:sz w:val="22"/>
          <w:szCs w:val="22"/>
          <w:lang w:val="ru-RU"/>
        </w:rPr>
        <w:t xml:space="preserve">Группа </w:t>
      </w:r>
      <w:r w:rsidR="00EB6598" w:rsidRPr="000E2BAB">
        <w:rPr>
          <w:rFonts w:ascii="Arial" w:eastAsia="SimSun" w:hAnsi="Arial" w:cs="Arial"/>
          <w:sz w:val="22"/>
          <w:szCs w:val="22"/>
          <w:lang w:val="ru-RU"/>
        </w:rPr>
        <w:t>V(b)</w:t>
      </w:r>
      <w:r w:rsidR="002E63F8" w:rsidRPr="000E2BAB">
        <w:rPr>
          <w:rFonts w:ascii="Arial" w:eastAsia="SimSun" w:hAnsi="Arial" w:cs="Arial"/>
          <w:sz w:val="22"/>
          <w:szCs w:val="22"/>
          <w:lang w:val="ru-RU"/>
        </w:rPr>
        <w:t>: три места</w:t>
      </w:r>
      <w:r w:rsidRPr="000E2BAB">
        <w:rPr>
          <w:rFonts w:ascii="Arial" w:eastAsia="SimSun" w:hAnsi="Arial" w:cs="Arial"/>
          <w:sz w:val="22"/>
          <w:szCs w:val="22"/>
          <w:lang w:val="ru-RU"/>
        </w:rPr>
        <w:t>.</w:t>
      </w:r>
    </w:p>
    <w:sectPr w:rsidR="008B713F" w:rsidRPr="000E2BAB" w:rsidSect="00655736">
      <w:headerReference w:type="even" r:id="rId11"/>
      <w:headerReference w:type="default" r:id="rId12"/>
      <w:headerReference w:type="first" r:id="rId13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005A3" w14:textId="77777777" w:rsidR="00F257EC" w:rsidRDefault="00F257EC" w:rsidP="00655736">
      <w:r>
        <w:separator/>
      </w:r>
    </w:p>
  </w:endnote>
  <w:endnote w:type="continuationSeparator" w:id="0">
    <w:p w14:paraId="2B4F50DB" w14:textId="77777777" w:rsidR="00F257EC" w:rsidRDefault="00F257EC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671FD" w14:textId="77777777" w:rsidR="00F257EC" w:rsidRDefault="00F257EC" w:rsidP="00655736">
      <w:r>
        <w:separator/>
      </w:r>
    </w:p>
  </w:footnote>
  <w:footnote w:type="continuationSeparator" w:id="0">
    <w:p w14:paraId="6B414369" w14:textId="77777777" w:rsidR="00F257EC" w:rsidRDefault="00F257EC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14EB1" w14:textId="5D766D21" w:rsidR="00445A1D" w:rsidRPr="00C23A97" w:rsidRDefault="00445A1D">
    <w:pPr>
      <w:pStyle w:val="Header"/>
      <w:rPr>
        <w:rFonts w:ascii="Arial" w:hAnsi="Arial" w:cs="Arial"/>
        <w:lang w:val="en-GB"/>
      </w:rPr>
    </w:pPr>
    <w:r>
      <w:rPr>
        <w:rFonts w:ascii="Arial" w:hAnsi="Arial" w:cs="Arial"/>
        <w:sz w:val="20"/>
        <w:szCs w:val="20"/>
        <w:lang w:val="en-GB"/>
      </w:rPr>
      <w:t>LHE/2</w:t>
    </w:r>
    <w:r w:rsidR="00245ED3">
      <w:rPr>
        <w:rFonts w:ascii="Arial" w:hAnsi="Arial" w:cs="Arial"/>
        <w:sz w:val="20"/>
        <w:szCs w:val="20"/>
        <w:lang w:val="en-GB"/>
      </w:rPr>
      <w:t>2</w:t>
    </w:r>
    <w:r>
      <w:rPr>
        <w:rFonts w:ascii="Arial" w:hAnsi="Arial" w:cs="Arial"/>
        <w:sz w:val="20"/>
        <w:szCs w:val="20"/>
        <w:lang w:val="en-GB"/>
      </w:rPr>
      <w:t>/</w:t>
    </w:r>
    <w:r w:rsidR="00245ED3">
      <w:rPr>
        <w:rFonts w:ascii="Arial" w:hAnsi="Arial" w:cs="Arial"/>
        <w:sz w:val="20"/>
        <w:szCs w:val="20"/>
        <w:lang w:val="en-GB"/>
      </w:rPr>
      <w:t>9</w:t>
    </w:r>
    <w:r w:rsidRPr="00C23A97">
      <w:rPr>
        <w:rFonts w:ascii="Arial" w:hAnsi="Arial" w:cs="Arial"/>
        <w:sz w:val="20"/>
        <w:szCs w:val="20"/>
        <w:lang w:val="en-GB"/>
      </w:rPr>
      <w:t>.GA/</w:t>
    </w:r>
    <w:r>
      <w:rPr>
        <w:rFonts w:ascii="Arial" w:hAnsi="Arial" w:cs="Arial"/>
        <w:sz w:val="20"/>
        <w:szCs w:val="20"/>
        <w:lang w:val="en-GB"/>
      </w:rPr>
      <w:t>4</w:t>
    </w:r>
    <w:r w:rsidRPr="00C23A97">
      <w:rPr>
        <w:rFonts w:ascii="Arial" w:hAnsi="Arial" w:cs="Arial"/>
        <w:sz w:val="20"/>
        <w:szCs w:val="20"/>
        <w:lang w:val="en-GB"/>
      </w:rPr>
      <w:t xml:space="preserve"> – </w:t>
    </w:r>
    <w:r>
      <w:rPr>
        <w:rFonts w:ascii="Arial" w:hAnsi="Arial" w:cs="Arial"/>
        <w:sz w:val="20"/>
        <w:szCs w:val="20"/>
        <w:lang w:val="ru-RU"/>
      </w:rPr>
      <w:t>страница</w:t>
    </w:r>
    <w:r w:rsidRPr="00C23A97">
      <w:rPr>
        <w:rFonts w:ascii="Arial" w:hAnsi="Arial" w:cs="Arial"/>
        <w:sz w:val="20"/>
        <w:szCs w:val="20"/>
        <w:lang w:val="en-GB"/>
      </w:rPr>
      <w:t xml:space="preserve"> </w:t>
    </w:r>
    <w:r w:rsidRPr="00C23A97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Pr="00C23A97">
      <w:rPr>
        <w:rStyle w:val="PageNumber"/>
        <w:rFonts w:ascii="Arial" w:hAnsi="Arial" w:cs="Arial"/>
        <w:sz w:val="20"/>
        <w:szCs w:val="20"/>
        <w:lang w:val="en-GB"/>
      </w:rPr>
      <w:instrText xml:space="preserve"> PAGE </w:instrText>
    </w:r>
    <w:r w:rsidRPr="00C23A97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4679DE">
      <w:rPr>
        <w:rStyle w:val="PageNumber"/>
        <w:rFonts w:ascii="Arial" w:hAnsi="Arial" w:cs="Arial"/>
        <w:noProof/>
        <w:sz w:val="20"/>
        <w:szCs w:val="20"/>
        <w:lang w:val="en-GB"/>
      </w:rPr>
      <w:t>2</w:t>
    </w:r>
    <w:r w:rsidRPr="00C23A97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2D60" w14:textId="77B049CC" w:rsidR="00445A1D" w:rsidRPr="0063300C" w:rsidRDefault="00445A1D" w:rsidP="0063300C">
    <w:pPr>
      <w:pStyle w:val="Header"/>
      <w:jc w:val="right"/>
      <w:rPr>
        <w:rFonts w:ascii="Arial" w:hAnsi="Arial" w:cs="Arial"/>
        <w:lang w:val="en-GB"/>
      </w:rPr>
    </w:pPr>
    <w:r>
      <w:rPr>
        <w:rFonts w:ascii="Arial" w:hAnsi="Arial" w:cs="Arial"/>
        <w:sz w:val="20"/>
        <w:szCs w:val="20"/>
        <w:lang w:val="en-GB"/>
      </w:rPr>
      <w:t>LHE/2</w:t>
    </w:r>
    <w:r w:rsidR="00245ED3">
      <w:rPr>
        <w:rFonts w:ascii="Arial" w:hAnsi="Arial" w:cs="Arial"/>
        <w:sz w:val="20"/>
        <w:szCs w:val="20"/>
        <w:lang w:val="en-GB"/>
      </w:rPr>
      <w:t>2</w:t>
    </w:r>
    <w:r>
      <w:rPr>
        <w:rFonts w:ascii="Arial" w:hAnsi="Arial" w:cs="Arial"/>
        <w:sz w:val="20"/>
        <w:szCs w:val="20"/>
        <w:lang w:val="en-GB"/>
      </w:rPr>
      <w:t>/</w:t>
    </w:r>
    <w:r w:rsidR="00245ED3">
      <w:rPr>
        <w:rFonts w:ascii="Arial" w:hAnsi="Arial" w:cs="Arial"/>
        <w:sz w:val="20"/>
        <w:szCs w:val="20"/>
        <w:lang w:val="en-GB"/>
      </w:rPr>
      <w:t>9</w:t>
    </w:r>
    <w:r w:rsidRPr="0063300C">
      <w:rPr>
        <w:rFonts w:ascii="Arial" w:hAnsi="Arial" w:cs="Arial"/>
        <w:sz w:val="20"/>
        <w:szCs w:val="20"/>
        <w:lang w:val="en-GB"/>
      </w:rPr>
      <w:t>.GA/</w:t>
    </w:r>
    <w:r>
      <w:rPr>
        <w:rFonts w:ascii="Arial" w:hAnsi="Arial" w:cs="Arial"/>
        <w:sz w:val="20"/>
        <w:szCs w:val="20"/>
        <w:lang w:val="en-GB"/>
      </w:rPr>
      <w:t>4</w:t>
    </w:r>
    <w:r w:rsidRPr="0063300C">
      <w:rPr>
        <w:rFonts w:ascii="Arial" w:hAnsi="Arial" w:cs="Arial"/>
        <w:sz w:val="20"/>
        <w:szCs w:val="20"/>
        <w:lang w:val="en-GB"/>
      </w:rPr>
      <w:t xml:space="preserve"> – </w:t>
    </w:r>
    <w:r>
      <w:rPr>
        <w:rFonts w:ascii="Arial" w:hAnsi="Arial" w:cs="Arial"/>
        <w:sz w:val="20"/>
        <w:szCs w:val="20"/>
        <w:lang w:val="ru-RU"/>
      </w:rPr>
      <w:t>страница</w:t>
    </w:r>
    <w:r w:rsidRPr="0063300C">
      <w:rPr>
        <w:rFonts w:ascii="Arial" w:hAnsi="Arial" w:cs="Arial"/>
        <w:sz w:val="20"/>
        <w:szCs w:val="20"/>
        <w:lang w:val="en-GB"/>
      </w:rPr>
      <w:t xml:space="preserve"> </w:t>
    </w:r>
    <w:r w:rsidRPr="0063300C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Pr="0063300C">
      <w:rPr>
        <w:rStyle w:val="PageNumber"/>
        <w:rFonts w:ascii="Arial" w:hAnsi="Arial" w:cs="Arial"/>
        <w:sz w:val="20"/>
        <w:szCs w:val="20"/>
        <w:lang w:val="en-GB"/>
      </w:rPr>
      <w:instrText xml:space="preserve"> PAGE </w:instrText>
    </w:r>
    <w:r w:rsidRPr="0063300C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4679DE">
      <w:rPr>
        <w:rStyle w:val="PageNumber"/>
        <w:rFonts w:ascii="Arial" w:hAnsi="Arial" w:cs="Arial"/>
        <w:noProof/>
        <w:sz w:val="20"/>
        <w:szCs w:val="20"/>
        <w:lang w:val="en-GB"/>
      </w:rPr>
      <w:t>3</w:t>
    </w:r>
    <w:r w:rsidRPr="0063300C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C603" w14:textId="48CC200E" w:rsidR="00445A1D" w:rsidRPr="008724E5" w:rsidRDefault="00901C1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3B45E49" wp14:editId="4807B3E1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1677600" cy="1440000"/>
          <wp:effectExtent l="0" t="0" r="0" b="825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600" cy="14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CB31EF" w14:textId="6115BC65" w:rsidR="00445A1D" w:rsidRPr="00CB4D54" w:rsidRDefault="003E4317" w:rsidP="00655736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ru-RU"/>
      </w:rPr>
    </w:pPr>
    <w:r w:rsidRPr="00A2480D">
      <w:rPr>
        <w:rFonts w:ascii="Arial" w:hAnsi="Arial" w:cs="Arial"/>
        <w:b/>
        <w:sz w:val="44"/>
        <w:szCs w:val="44"/>
        <w:lang w:val="ru-RU"/>
      </w:rPr>
      <w:t>9</w:t>
    </w:r>
    <w:r w:rsidR="00445A1D" w:rsidRPr="00CB4D54">
      <w:rPr>
        <w:rFonts w:ascii="Arial" w:hAnsi="Arial" w:cs="Arial"/>
        <w:b/>
        <w:sz w:val="44"/>
        <w:szCs w:val="44"/>
        <w:lang w:val="ru-RU"/>
      </w:rPr>
      <w:t xml:space="preserve"> </w:t>
    </w:r>
    <w:r w:rsidR="00445A1D" w:rsidRPr="002A3DD2">
      <w:rPr>
        <w:rFonts w:ascii="Arial" w:hAnsi="Arial" w:cs="Arial"/>
        <w:b/>
        <w:sz w:val="44"/>
        <w:szCs w:val="44"/>
        <w:lang w:val="pt-PT"/>
      </w:rPr>
      <w:t>GA</w:t>
    </w:r>
  </w:p>
  <w:p w14:paraId="78479DA6" w14:textId="4B1ECD8D" w:rsidR="00445A1D" w:rsidRPr="00CB4D54" w:rsidRDefault="00445A1D" w:rsidP="00655736">
    <w:pPr>
      <w:jc w:val="right"/>
      <w:rPr>
        <w:rFonts w:ascii="Arial" w:hAnsi="Arial" w:cs="Arial"/>
        <w:b/>
        <w:sz w:val="22"/>
        <w:szCs w:val="22"/>
        <w:lang w:val="ru-RU"/>
      </w:rPr>
    </w:pPr>
    <w:r w:rsidRPr="002A3DD2">
      <w:rPr>
        <w:rFonts w:ascii="Arial" w:hAnsi="Arial" w:cs="Arial"/>
        <w:b/>
        <w:sz w:val="22"/>
        <w:szCs w:val="22"/>
        <w:lang w:val="pt-PT"/>
      </w:rPr>
      <w:t>LHE</w:t>
    </w:r>
    <w:r w:rsidRPr="00CB4D54">
      <w:rPr>
        <w:rFonts w:ascii="Arial" w:hAnsi="Arial" w:cs="Arial"/>
        <w:b/>
        <w:sz w:val="22"/>
        <w:szCs w:val="22"/>
        <w:lang w:val="ru-RU"/>
      </w:rPr>
      <w:t>/2</w:t>
    </w:r>
    <w:r w:rsidR="000F3E58" w:rsidRPr="00A2480D">
      <w:rPr>
        <w:rFonts w:ascii="Arial" w:hAnsi="Arial" w:cs="Arial"/>
        <w:b/>
        <w:sz w:val="22"/>
        <w:szCs w:val="22"/>
        <w:lang w:val="ru-RU"/>
      </w:rPr>
      <w:t>2</w:t>
    </w:r>
    <w:r w:rsidRPr="00CB4D54">
      <w:rPr>
        <w:rFonts w:ascii="Arial" w:hAnsi="Arial" w:cs="Arial"/>
        <w:b/>
        <w:sz w:val="22"/>
        <w:szCs w:val="22"/>
        <w:lang w:val="ru-RU"/>
      </w:rPr>
      <w:t>/</w:t>
    </w:r>
    <w:r w:rsidR="000F3E58" w:rsidRPr="00A2480D">
      <w:rPr>
        <w:rFonts w:ascii="Arial" w:hAnsi="Arial" w:cs="Arial"/>
        <w:b/>
        <w:sz w:val="22"/>
        <w:szCs w:val="22"/>
        <w:lang w:val="ru-RU"/>
      </w:rPr>
      <w:t>9</w:t>
    </w:r>
    <w:r w:rsidRPr="00CB4D54">
      <w:rPr>
        <w:rFonts w:ascii="Arial" w:hAnsi="Arial" w:cs="Arial"/>
        <w:b/>
        <w:sz w:val="22"/>
        <w:szCs w:val="22"/>
        <w:lang w:val="ru-RU"/>
      </w:rPr>
      <w:t>.</w:t>
    </w:r>
    <w:r w:rsidRPr="002A3DD2">
      <w:rPr>
        <w:rFonts w:ascii="Arial" w:hAnsi="Arial" w:cs="Arial"/>
        <w:b/>
        <w:sz w:val="22"/>
        <w:szCs w:val="22"/>
        <w:lang w:val="pt-PT"/>
      </w:rPr>
      <w:t>GA</w:t>
    </w:r>
    <w:r w:rsidRPr="00CB4D54">
      <w:rPr>
        <w:rFonts w:ascii="Arial" w:hAnsi="Arial" w:cs="Arial"/>
        <w:b/>
        <w:sz w:val="22"/>
        <w:szCs w:val="22"/>
        <w:lang w:val="ru-RU"/>
      </w:rPr>
      <w:t>/4</w:t>
    </w:r>
  </w:p>
  <w:p w14:paraId="6E77E502" w14:textId="0341936B" w:rsidR="00445A1D" w:rsidRPr="001411E3" w:rsidRDefault="00445A1D" w:rsidP="00AA4616">
    <w:pPr>
      <w:jc w:val="right"/>
      <w:rPr>
        <w:rFonts w:ascii="Arial" w:hAnsi="Arial" w:cs="Arial"/>
        <w:b/>
        <w:sz w:val="22"/>
        <w:szCs w:val="22"/>
        <w:lang w:val="ru-RU"/>
      </w:rPr>
    </w:pPr>
    <w:r>
      <w:rPr>
        <w:rFonts w:ascii="Arial" w:hAnsi="Arial" w:cs="Arial"/>
        <w:b/>
        <w:sz w:val="22"/>
        <w:szCs w:val="22"/>
        <w:lang w:val="ru-RU"/>
      </w:rPr>
      <w:t>Париж</w:t>
    </w:r>
    <w:r w:rsidR="000F3E58" w:rsidRPr="009B58CF">
      <w:rPr>
        <w:rFonts w:ascii="Arial" w:hAnsi="Arial" w:cs="Arial"/>
        <w:b/>
        <w:sz w:val="22"/>
        <w:szCs w:val="22"/>
        <w:lang w:val="ru-RU"/>
      </w:rPr>
      <w:t>,</w:t>
    </w:r>
    <w:r w:rsidR="00A2480D" w:rsidRPr="009B58CF">
      <w:rPr>
        <w:rFonts w:ascii="Arial" w:hAnsi="Arial" w:cs="Arial"/>
        <w:b/>
        <w:sz w:val="22"/>
        <w:szCs w:val="22"/>
        <w:lang w:val="ru-RU"/>
      </w:rPr>
      <w:t xml:space="preserve"> 3</w:t>
    </w:r>
    <w:r w:rsidR="000F3E58" w:rsidRPr="009B58CF">
      <w:rPr>
        <w:rFonts w:ascii="Arial" w:hAnsi="Arial" w:cs="Arial"/>
        <w:b/>
        <w:sz w:val="22"/>
        <w:szCs w:val="22"/>
        <w:lang w:val="ru-RU"/>
      </w:rPr>
      <w:t xml:space="preserve"> </w:t>
    </w:r>
    <w:r w:rsidR="009013F3" w:rsidRPr="009B58CF">
      <w:rPr>
        <w:rFonts w:ascii="Arial" w:hAnsi="Arial" w:cs="Arial"/>
        <w:b/>
        <w:sz w:val="22"/>
        <w:szCs w:val="22"/>
        <w:lang w:val="ru-RU"/>
      </w:rPr>
      <w:t>июня</w:t>
    </w:r>
    <w:r w:rsidR="0005138A" w:rsidRPr="009B58CF">
      <w:rPr>
        <w:rFonts w:ascii="Arial" w:hAnsi="Arial" w:cs="Arial"/>
        <w:b/>
        <w:sz w:val="22"/>
        <w:szCs w:val="22"/>
        <w:lang w:val="ru-RU"/>
      </w:rPr>
      <w:t xml:space="preserve"> </w:t>
    </w:r>
    <w:r w:rsidRPr="00CB4D54">
      <w:rPr>
        <w:rFonts w:ascii="Arial" w:hAnsi="Arial" w:cs="Arial"/>
        <w:b/>
        <w:sz w:val="22"/>
        <w:szCs w:val="22"/>
        <w:lang w:val="ru-RU"/>
      </w:rPr>
      <w:t>202</w:t>
    </w:r>
    <w:r w:rsidR="00245ED3" w:rsidRPr="0005138A">
      <w:rPr>
        <w:rFonts w:ascii="Arial" w:hAnsi="Arial" w:cs="Arial"/>
        <w:b/>
        <w:sz w:val="22"/>
        <w:szCs w:val="22"/>
        <w:lang w:val="ru-RU"/>
      </w:rPr>
      <w:t>2</w:t>
    </w:r>
    <w:r>
      <w:rPr>
        <w:rFonts w:ascii="Arial" w:hAnsi="Arial" w:cs="Arial"/>
        <w:b/>
        <w:sz w:val="22"/>
        <w:szCs w:val="22"/>
        <w:lang w:val="ru-RU"/>
      </w:rPr>
      <w:t> г.</w:t>
    </w:r>
  </w:p>
  <w:p w14:paraId="089979BD" w14:textId="1B6DDF1C" w:rsidR="00445A1D" w:rsidRPr="00CB4D54" w:rsidRDefault="00445A1D" w:rsidP="000048ED">
    <w:pPr>
      <w:jc w:val="right"/>
      <w:rPr>
        <w:rFonts w:ascii="Arial" w:hAnsi="Arial" w:cs="Arial"/>
        <w:b/>
        <w:sz w:val="22"/>
        <w:szCs w:val="22"/>
        <w:lang w:val="ru-RU"/>
      </w:rPr>
    </w:pPr>
    <w:r>
      <w:rPr>
        <w:rFonts w:ascii="Arial" w:hAnsi="Arial" w:cs="Arial"/>
        <w:b/>
        <w:sz w:val="22"/>
        <w:szCs w:val="22"/>
        <w:lang w:val="ru-RU"/>
      </w:rPr>
      <w:t>Оригинал</w:t>
    </w:r>
    <w:r w:rsidRPr="00CB4D54">
      <w:rPr>
        <w:rFonts w:ascii="Arial" w:hAnsi="Arial" w:cs="Arial"/>
        <w:b/>
        <w:sz w:val="22"/>
        <w:szCs w:val="22"/>
        <w:lang w:val="ru-RU"/>
      </w:rPr>
      <w:t xml:space="preserve">: </w:t>
    </w:r>
    <w:r>
      <w:rPr>
        <w:rFonts w:ascii="Arial" w:hAnsi="Arial" w:cs="Arial"/>
        <w:b/>
        <w:sz w:val="22"/>
        <w:szCs w:val="22"/>
        <w:lang w:val="ru-RU"/>
      </w:rPr>
      <w:t>английский</w:t>
    </w:r>
  </w:p>
  <w:p w14:paraId="02DFEC74" w14:textId="0481EB10" w:rsidR="00445A1D" w:rsidRDefault="00445A1D" w:rsidP="002D02C0">
    <w:pPr>
      <w:rPr>
        <w:rFonts w:ascii="Arial" w:hAnsi="Arial" w:cs="Arial"/>
        <w:b/>
        <w:sz w:val="22"/>
        <w:szCs w:val="22"/>
        <w:lang w:val="ru-RU"/>
      </w:rPr>
    </w:pPr>
  </w:p>
  <w:p w14:paraId="07237EBC" w14:textId="77777777" w:rsidR="00DE6CE6" w:rsidRPr="00CB4D54" w:rsidRDefault="00DE6CE6" w:rsidP="002D02C0">
    <w:pPr>
      <w:rPr>
        <w:rFonts w:ascii="Arial" w:hAnsi="Arial" w:cs="Arial"/>
        <w:b/>
        <w:sz w:val="22"/>
        <w:szCs w:val="22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F07BFE"/>
    <w:multiLevelType w:val="hybridMultilevel"/>
    <w:tmpl w:val="E24AD55A"/>
    <w:lvl w:ilvl="0" w:tplc="76CAC304">
      <w:start w:val="1"/>
      <w:numFmt w:val="decimal"/>
      <w:pStyle w:val="GA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97A4DB1"/>
    <w:multiLevelType w:val="hybridMultilevel"/>
    <w:tmpl w:val="1F36D964"/>
    <w:lvl w:ilvl="0" w:tplc="918ACE6A">
      <w:start w:val="1"/>
      <w:numFmt w:val="decimal"/>
      <w:pStyle w:val="GAParaResolut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AC30BD2"/>
    <w:multiLevelType w:val="hybridMultilevel"/>
    <w:tmpl w:val="2F02E984"/>
    <w:lvl w:ilvl="0" w:tplc="DFC65752">
      <w:start w:val="1"/>
      <w:numFmt w:val="upperRoman"/>
      <w:pStyle w:val="Heading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8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866"/>
    <w:rsid w:val="000048ED"/>
    <w:rsid w:val="00016F7F"/>
    <w:rsid w:val="0004117D"/>
    <w:rsid w:val="00041A66"/>
    <w:rsid w:val="0005138A"/>
    <w:rsid w:val="0005176E"/>
    <w:rsid w:val="000765F7"/>
    <w:rsid w:val="00077AB7"/>
    <w:rsid w:val="00081CD8"/>
    <w:rsid w:val="000A2591"/>
    <w:rsid w:val="000A7F0E"/>
    <w:rsid w:val="000C0D61"/>
    <w:rsid w:val="000C7D74"/>
    <w:rsid w:val="000E2BAB"/>
    <w:rsid w:val="000E6DAC"/>
    <w:rsid w:val="000F3A3F"/>
    <w:rsid w:val="000F3E58"/>
    <w:rsid w:val="00101602"/>
    <w:rsid w:val="00102557"/>
    <w:rsid w:val="001411E3"/>
    <w:rsid w:val="001578FF"/>
    <w:rsid w:val="00164D56"/>
    <w:rsid w:val="00167B10"/>
    <w:rsid w:val="0017402F"/>
    <w:rsid w:val="00196C1B"/>
    <w:rsid w:val="001A7211"/>
    <w:rsid w:val="001B0F73"/>
    <w:rsid w:val="001C1D88"/>
    <w:rsid w:val="001D5C04"/>
    <w:rsid w:val="001D7EF0"/>
    <w:rsid w:val="00215D7C"/>
    <w:rsid w:val="00222A2D"/>
    <w:rsid w:val="00223029"/>
    <w:rsid w:val="00234745"/>
    <w:rsid w:val="00236980"/>
    <w:rsid w:val="00237375"/>
    <w:rsid w:val="002407AF"/>
    <w:rsid w:val="00243DD9"/>
    <w:rsid w:val="00245ED3"/>
    <w:rsid w:val="002916A7"/>
    <w:rsid w:val="002A3DD2"/>
    <w:rsid w:val="002C09E3"/>
    <w:rsid w:val="002D02C0"/>
    <w:rsid w:val="002D7D6F"/>
    <w:rsid w:val="002E5AA8"/>
    <w:rsid w:val="002E63F8"/>
    <w:rsid w:val="00301D2A"/>
    <w:rsid w:val="00320ED4"/>
    <w:rsid w:val="003458F3"/>
    <w:rsid w:val="00345CB4"/>
    <w:rsid w:val="003604B2"/>
    <w:rsid w:val="00373B01"/>
    <w:rsid w:val="003959C5"/>
    <w:rsid w:val="003C2913"/>
    <w:rsid w:val="003D069C"/>
    <w:rsid w:val="003D7646"/>
    <w:rsid w:val="003E4317"/>
    <w:rsid w:val="003E6748"/>
    <w:rsid w:val="003F113A"/>
    <w:rsid w:val="003F32CE"/>
    <w:rsid w:val="00400461"/>
    <w:rsid w:val="00414643"/>
    <w:rsid w:val="004301E8"/>
    <w:rsid w:val="004421E5"/>
    <w:rsid w:val="00445A1D"/>
    <w:rsid w:val="00452284"/>
    <w:rsid w:val="00465BB1"/>
    <w:rsid w:val="004679DE"/>
    <w:rsid w:val="0047298B"/>
    <w:rsid w:val="004856CA"/>
    <w:rsid w:val="0049705E"/>
    <w:rsid w:val="004A34A0"/>
    <w:rsid w:val="004B01C8"/>
    <w:rsid w:val="004B1303"/>
    <w:rsid w:val="00523789"/>
    <w:rsid w:val="00526B7B"/>
    <w:rsid w:val="005308CE"/>
    <w:rsid w:val="005426F6"/>
    <w:rsid w:val="00560DC6"/>
    <w:rsid w:val="0057439C"/>
    <w:rsid w:val="005822A4"/>
    <w:rsid w:val="005937F7"/>
    <w:rsid w:val="005A69A2"/>
    <w:rsid w:val="005B0127"/>
    <w:rsid w:val="005B7A35"/>
    <w:rsid w:val="005C4B73"/>
    <w:rsid w:val="005C65DA"/>
    <w:rsid w:val="005D481D"/>
    <w:rsid w:val="005E1D2B"/>
    <w:rsid w:val="00600D93"/>
    <w:rsid w:val="00614724"/>
    <w:rsid w:val="0063300C"/>
    <w:rsid w:val="00633029"/>
    <w:rsid w:val="00642A7D"/>
    <w:rsid w:val="00655736"/>
    <w:rsid w:val="00663B8D"/>
    <w:rsid w:val="00686560"/>
    <w:rsid w:val="00696C8D"/>
    <w:rsid w:val="006A2AC2"/>
    <w:rsid w:val="006A3617"/>
    <w:rsid w:val="006A55F3"/>
    <w:rsid w:val="006E46E4"/>
    <w:rsid w:val="00717DA5"/>
    <w:rsid w:val="00744484"/>
    <w:rsid w:val="00747191"/>
    <w:rsid w:val="00763A0D"/>
    <w:rsid w:val="00773188"/>
    <w:rsid w:val="00783782"/>
    <w:rsid w:val="00784B8C"/>
    <w:rsid w:val="007A0CFF"/>
    <w:rsid w:val="007D4B49"/>
    <w:rsid w:val="00804CCA"/>
    <w:rsid w:val="00823A11"/>
    <w:rsid w:val="00842524"/>
    <w:rsid w:val="00847B88"/>
    <w:rsid w:val="00852550"/>
    <w:rsid w:val="00852866"/>
    <w:rsid w:val="0085414A"/>
    <w:rsid w:val="0086269D"/>
    <w:rsid w:val="0086543A"/>
    <w:rsid w:val="008724E5"/>
    <w:rsid w:val="00884A9D"/>
    <w:rsid w:val="0088512B"/>
    <w:rsid w:val="00893918"/>
    <w:rsid w:val="008A2B2D"/>
    <w:rsid w:val="008A4E1E"/>
    <w:rsid w:val="008B32D1"/>
    <w:rsid w:val="008B713F"/>
    <w:rsid w:val="008C296C"/>
    <w:rsid w:val="008D4305"/>
    <w:rsid w:val="009013F3"/>
    <w:rsid w:val="00901C17"/>
    <w:rsid w:val="00903BBB"/>
    <w:rsid w:val="00906D4F"/>
    <w:rsid w:val="009163A7"/>
    <w:rsid w:val="00933638"/>
    <w:rsid w:val="00946D0B"/>
    <w:rsid w:val="00983B21"/>
    <w:rsid w:val="0098445C"/>
    <w:rsid w:val="009A18CD"/>
    <w:rsid w:val="009B58CF"/>
    <w:rsid w:val="009B7DBA"/>
    <w:rsid w:val="009C494C"/>
    <w:rsid w:val="009C7525"/>
    <w:rsid w:val="00A12558"/>
    <w:rsid w:val="00A13903"/>
    <w:rsid w:val="00A2480D"/>
    <w:rsid w:val="00A339BE"/>
    <w:rsid w:val="00A34ED5"/>
    <w:rsid w:val="00A45DBF"/>
    <w:rsid w:val="00A563D6"/>
    <w:rsid w:val="00A755A2"/>
    <w:rsid w:val="00A7603A"/>
    <w:rsid w:val="00A81852"/>
    <w:rsid w:val="00AA4616"/>
    <w:rsid w:val="00AA6660"/>
    <w:rsid w:val="00AB2C36"/>
    <w:rsid w:val="00AB70B6"/>
    <w:rsid w:val="00AC7655"/>
    <w:rsid w:val="00AD1A86"/>
    <w:rsid w:val="00AE103E"/>
    <w:rsid w:val="00AF0A07"/>
    <w:rsid w:val="00AF4AEC"/>
    <w:rsid w:val="00AF625E"/>
    <w:rsid w:val="00B00FB2"/>
    <w:rsid w:val="00B53091"/>
    <w:rsid w:val="00B74464"/>
    <w:rsid w:val="00B854C6"/>
    <w:rsid w:val="00BB04AF"/>
    <w:rsid w:val="00BD52C9"/>
    <w:rsid w:val="00BE57A5"/>
    <w:rsid w:val="00BE6354"/>
    <w:rsid w:val="00BF586D"/>
    <w:rsid w:val="00C21573"/>
    <w:rsid w:val="00C23A97"/>
    <w:rsid w:val="00C24F34"/>
    <w:rsid w:val="00C308DF"/>
    <w:rsid w:val="00C4212E"/>
    <w:rsid w:val="00C52650"/>
    <w:rsid w:val="00C70228"/>
    <w:rsid w:val="00C70EA7"/>
    <w:rsid w:val="00C7516E"/>
    <w:rsid w:val="00C75770"/>
    <w:rsid w:val="00CB4D54"/>
    <w:rsid w:val="00CB6BFE"/>
    <w:rsid w:val="00CC7E93"/>
    <w:rsid w:val="00CD5029"/>
    <w:rsid w:val="00D00B2B"/>
    <w:rsid w:val="00D11AFD"/>
    <w:rsid w:val="00D24877"/>
    <w:rsid w:val="00D31C2C"/>
    <w:rsid w:val="00D420B0"/>
    <w:rsid w:val="00D95C4C"/>
    <w:rsid w:val="00DA31F1"/>
    <w:rsid w:val="00DA35FE"/>
    <w:rsid w:val="00DA36ED"/>
    <w:rsid w:val="00DB009B"/>
    <w:rsid w:val="00DD35EE"/>
    <w:rsid w:val="00DE34F1"/>
    <w:rsid w:val="00DE428E"/>
    <w:rsid w:val="00DE6CE6"/>
    <w:rsid w:val="00DF4942"/>
    <w:rsid w:val="00E07E76"/>
    <w:rsid w:val="00E238A1"/>
    <w:rsid w:val="00E313E1"/>
    <w:rsid w:val="00E41CE6"/>
    <w:rsid w:val="00E627B1"/>
    <w:rsid w:val="00E90A85"/>
    <w:rsid w:val="00E9376C"/>
    <w:rsid w:val="00EA335E"/>
    <w:rsid w:val="00EA528C"/>
    <w:rsid w:val="00EB10EB"/>
    <w:rsid w:val="00EB6598"/>
    <w:rsid w:val="00EC3492"/>
    <w:rsid w:val="00EC36A8"/>
    <w:rsid w:val="00ED600B"/>
    <w:rsid w:val="00EF34E2"/>
    <w:rsid w:val="00F257EC"/>
    <w:rsid w:val="00F26618"/>
    <w:rsid w:val="00F30CE0"/>
    <w:rsid w:val="00F408F7"/>
    <w:rsid w:val="00F52DF2"/>
    <w:rsid w:val="00F53DE9"/>
    <w:rsid w:val="00F54736"/>
    <w:rsid w:val="00F576CB"/>
    <w:rsid w:val="00F71A02"/>
    <w:rsid w:val="00F84399"/>
    <w:rsid w:val="00FB565E"/>
    <w:rsid w:val="00FC6062"/>
    <w:rsid w:val="00FD1226"/>
    <w:rsid w:val="00FD39C7"/>
    <w:rsid w:val="00FD662D"/>
    <w:rsid w:val="00FE5FD1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4CE62"/>
  <w15:docId w15:val="{849DBCEF-1E9B-4859-9811-7AF2861F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GA Heading"/>
    <w:basedOn w:val="Normal"/>
    <w:next w:val="Normal"/>
    <w:link w:val="Heading4Ch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  <w:lang w:val="fr-FR" w:eastAsia="fr-FR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GA Heading Char"/>
    <w:link w:val="Heading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GAPara">
    <w:name w:val="GA Para"/>
    <w:qFormat/>
    <w:rsid w:val="00345CB4"/>
    <w:pPr>
      <w:numPr>
        <w:numId w:val="9"/>
      </w:num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eastAsia="en-US"/>
    </w:rPr>
  </w:style>
  <w:style w:type="paragraph" w:customStyle="1" w:styleId="GATitleResolution">
    <w:name w:val="GA Title Resolut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GAPreambulaResolution">
    <w:name w:val="GA Preambula Resolution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GAParaResolution">
    <w:name w:val="GA Para Resolut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9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9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9C7"/>
    <w:rPr>
      <w:rFonts w:ascii="Times New Roman" w:eastAsia="Times New Roman" w:hAnsi="Times New Roman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9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9C7"/>
    <w:rPr>
      <w:rFonts w:ascii="Times New Roman" w:eastAsia="Times New Roman" w:hAnsi="Times New Roman"/>
      <w:b/>
      <w:bCs/>
      <w:lang w:val="fr-FR" w:eastAsia="fr-FR"/>
    </w:rPr>
  </w:style>
  <w:style w:type="paragraph" w:styleId="Revision">
    <w:name w:val="Revision"/>
    <w:hidden/>
    <w:uiPriority w:val="99"/>
    <w:semiHidden/>
    <w:rsid w:val="00FD39C7"/>
    <w:rPr>
      <w:rFonts w:ascii="Times New Roman" w:eastAsia="Times New Roman" w:hAnsi="Times New Roman"/>
      <w:sz w:val="24"/>
      <w:szCs w:val="24"/>
      <w:lang w:val="fr-FR" w:eastAsia="fr-FR"/>
    </w:rPr>
  </w:style>
  <w:style w:type="table" w:customStyle="1" w:styleId="TableGrid1">
    <w:name w:val="Table Grid1"/>
    <w:basedOn w:val="TableNormal"/>
    <w:next w:val="TableGrid"/>
    <w:uiPriority w:val="59"/>
    <w:rsid w:val="007D4B49"/>
    <w:rPr>
      <w:lang w:val="fr-FR" w:eastAsia="fr-F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9391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8939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1D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en/r%C3%A9solutions/3.GA/12?dec=resolutions&amp;ref_decision=3.G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ch.unesco.org/en/r%C3%A9solutions/3.GA/12?dec=resolutions&amp;ref_decision=3.G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h.unesco.org/en/r%C3%A9solutions/3.GA/12?dec=resolutions&amp;ref_decision=3.GA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5029C-86FD-43E3-98B2-6FE81910E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UNESCO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Shin, Eunkyung</dc:creator>
  <cp:lastModifiedBy>Nakata, Julien</cp:lastModifiedBy>
  <cp:revision>17</cp:revision>
  <cp:lastPrinted>2016-03-02T11:33:00Z</cp:lastPrinted>
  <dcterms:created xsi:type="dcterms:W3CDTF">2022-05-19T19:40:00Z</dcterms:created>
  <dcterms:modified xsi:type="dcterms:W3CDTF">2022-06-03T10:26:00Z</dcterms:modified>
</cp:coreProperties>
</file>