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CC07" w14:textId="77777777" w:rsidR="000B65D4" w:rsidRPr="00782C60" w:rsidRDefault="000B65D4" w:rsidP="000B65D4">
      <w:pPr>
        <w:tabs>
          <w:tab w:val="left" w:pos="1170"/>
          <w:tab w:val="center" w:pos="4819"/>
        </w:tabs>
        <w:rPr>
          <w:rFonts w:ascii="Arial" w:hAnsi="Arial"/>
          <w:b/>
          <w:color w:val="FFFFFF" w:themeColor="background1"/>
          <w:sz w:val="22"/>
        </w:rPr>
      </w:pPr>
    </w:p>
    <w:p w14:paraId="58DA494A" w14:textId="568FAD36" w:rsidR="00C2311A" w:rsidRPr="00782C60" w:rsidRDefault="00C2311A" w:rsidP="000B65D4">
      <w:pPr>
        <w:tabs>
          <w:tab w:val="left" w:pos="1170"/>
          <w:tab w:val="center" w:pos="4819"/>
        </w:tabs>
        <w:spacing w:before="1240"/>
        <w:jc w:val="center"/>
        <w:rPr>
          <w:rFonts w:ascii="Arial" w:hAnsi="Arial"/>
          <w:b/>
          <w:sz w:val="22"/>
        </w:rPr>
      </w:pPr>
      <w:r w:rsidRPr="00782C60">
        <w:rPr>
          <w:rFonts w:ascii="Arial" w:hAnsi="Arial"/>
          <w:b/>
          <w:sz w:val="22"/>
        </w:rPr>
        <w:t>CONVENCIÓN PARA LA SALVAGUARDIA</w:t>
      </w:r>
      <w:r w:rsidRPr="00782C60">
        <w:rPr>
          <w:rFonts w:ascii="Arial" w:hAnsi="Arial"/>
          <w:b/>
          <w:sz w:val="22"/>
        </w:rPr>
        <w:br/>
        <w:t>DEL PATRIMONIO CULTURAL INMATERIAL</w:t>
      </w:r>
    </w:p>
    <w:p w14:paraId="2CDB5643" w14:textId="6443DCED" w:rsidR="00655736" w:rsidRPr="00782C60" w:rsidRDefault="00C2311A" w:rsidP="00655736">
      <w:pPr>
        <w:spacing w:before="1200"/>
        <w:jc w:val="center"/>
        <w:rPr>
          <w:rFonts w:ascii="Arial" w:hAnsi="Arial" w:cs="Arial"/>
          <w:b/>
          <w:sz w:val="22"/>
          <w:szCs w:val="22"/>
        </w:rPr>
      </w:pPr>
      <w:r w:rsidRPr="00782C60">
        <w:rPr>
          <w:rFonts w:ascii="Arial" w:hAnsi="Arial"/>
          <w:b/>
          <w:sz w:val="22"/>
        </w:rPr>
        <w:t xml:space="preserve">ASAMBLEA GENERAL DE LOS </w:t>
      </w:r>
      <w:proofErr w:type="gramStart"/>
      <w:r w:rsidRPr="00782C60">
        <w:rPr>
          <w:rFonts w:ascii="Arial" w:hAnsi="Arial"/>
          <w:b/>
          <w:sz w:val="22"/>
        </w:rPr>
        <w:t>ESTADOS PARTES</w:t>
      </w:r>
      <w:proofErr w:type="gramEnd"/>
      <w:r w:rsidRPr="00782C60">
        <w:rPr>
          <w:rFonts w:ascii="Arial" w:hAnsi="Arial"/>
          <w:b/>
          <w:sz w:val="22"/>
        </w:rPr>
        <w:t xml:space="preserve"> EN LA CONVENC</w:t>
      </w:r>
      <w:r w:rsidR="00D95C4C" w:rsidRPr="00782C60">
        <w:rPr>
          <w:rFonts w:ascii="Arial" w:hAnsi="Arial"/>
          <w:b/>
          <w:sz w:val="22"/>
        </w:rPr>
        <w:t>I</w:t>
      </w:r>
      <w:r w:rsidRPr="00782C60">
        <w:rPr>
          <w:rFonts w:ascii="Arial" w:hAnsi="Arial"/>
          <w:b/>
          <w:sz w:val="22"/>
        </w:rPr>
        <w:t>Ó</w:t>
      </w:r>
      <w:r w:rsidR="00D95C4C" w:rsidRPr="00782C60">
        <w:rPr>
          <w:rFonts w:ascii="Arial" w:hAnsi="Arial"/>
          <w:b/>
          <w:sz w:val="22"/>
        </w:rPr>
        <w:t>N</w:t>
      </w:r>
    </w:p>
    <w:p w14:paraId="75891C68" w14:textId="03C86E2D" w:rsidR="00D95C4C" w:rsidRPr="00782C60" w:rsidRDefault="003265D0" w:rsidP="00D95C4C">
      <w:pPr>
        <w:spacing w:before="840"/>
        <w:jc w:val="center"/>
        <w:rPr>
          <w:rFonts w:ascii="Arial" w:hAnsi="Arial" w:cs="Arial"/>
          <w:b/>
          <w:sz w:val="22"/>
          <w:szCs w:val="22"/>
        </w:rPr>
      </w:pPr>
      <w:r w:rsidRPr="00782C60">
        <w:rPr>
          <w:rFonts w:ascii="Arial" w:hAnsi="Arial"/>
          <w:b/>
          <w:sz w:val="22"/>
        </w:rPr>
        <w:t>N</w:t>
      </w:r>
      <w:r w:rsidR="00C2311A" w:rsidRPr="00782C60">
        <w:rPr>
          <w:rFonts w:ascii="Arial" w:hAnsi="Arial"/>
          <w:b/>
          <w:sz w:val="22"/>
        </w:rPr>
        <w:t>ovena</w:t>
      </w:r>
      <w:r w:rsidRPr="00782C60">
        <w:rPr>
          <w:rFonts w:ascii="Arial" w:hAnsi="Arial"/>
          <w:b/>
          <w:sz w:val="22"/>
        </w:rPr>
        <w:t xml:space="preserve"> </w:t>
      </w:r>
      <w:r w:rsidR="00C2311A" w:rsidRPr="00782C60">
        <w:rPr>
          <w:rFonts w:ascii="Arial" w:hAnsi="Arial"/>
          <w:b/>
          <w:sz w:val="22"/>
        </w:rPr>
        <w:t>reunión</w:t>
      </w:r>
    </w:p>
    <w:p w14:paraId="2813BA58" w14:textId="020D58E8" w:rsidR="00D95C4C" w:rsidRPr="00782C60" w:rsidRDefault="00C2311A" w:rsidP="00D95C4C">
      <w:pPr>
        <w:jc w:val="center"/>
        <w:rPr>
          <w:rFonts w:ascii="Arial" w:hAnsi="Arial" w:cs="Arial"/>
          <w:b/>
          <w:sz w:val="22"/>
          <w:szCs w:val="22"/>
        </w:rPr>
      </w:pPr>
      <w:r w:rsidRPr="00782C60">
        <w:rPr>
          <w:rFonts w:ascii="Arial" w:hAnsi="Arial"/>
          <w:b/>
          <w:sz w:val="22"/>
        </w:rPr>
        <w:t xml:space="preserve">Sede de la </w:t>
      </w:r>
      <w:r w:rsidR="00D95C4C" w:rsidRPr="00782C60">
        <w:rPr>
          <w:rFonts w:ascii="Arial" w:hAnsi="Arial"/>
          <w:b/>
          <w:sz w:val="22"/>
        </w:rPr>
        <w:t xml:space="preserve">UNESCO, </w:t>
      </w:r>
      <w:r w:rsidRPr="00782C60">
        <w:rPr>
          <w:rFonts w:ascii="Arial" w:hAnsi="Arial"/>
          <w:b/>
          <w:sz w:val="22"/>
        </w:rPr>
        <w:t>Sala</w:t>
      </w:r>
      <w:r w:rsidR="00D95C4C" w:rsidRPr="00782C60">
        <w:rPr>
          <w:rFonts w:ascii="Arial" w:hAnsi="Arial"/>
          <w:b/>
          <w:sz w:val="22"/>
        </w:rPr>
        <w:t xml:space="preserve"> I</w:t>
      </w:r>
    </w:p>
    <w:p w14:paraId="17E07F7D" w14:textId="051AFCA7" w:rsidR="00655736" w:rsidRPr="00782C60" w:rsidRDefault="003265D0" w:rsidP="00D95C4C">
      <w:pPr>
        <w:jc w:val="center"/>
        <w:rPr>
          <w:rFonts w:ascii="Arial" w:hAnsi="Arial" w:cs="Arial"/>
          <w:b/>
          <w:sz w:val="22"/>
          <w:szCs w:val="22"/>
        </w:rPr>
      </w:pPr>
      <w:r w:rsidRPr="00782C60">
        <w:rPr>
          <w:rFonts w:ascii="Arial" w:hAnsi="Arial"/>
          <w:b/>
          <w:sz w:val="22"/>
        </w:rPr>
        <w:t xml:space="preserve">5 </w:t>
      </w:r>
      <w:r w:rsidR="00C2311A" w:rsidRPr="00782C60">
        <w:rPr>
          <w:rFonts w:ascii="Arial" w:hAnsi="Arial"/>
          <w:b/>
          <w:sz w:val="22"/>
        </w:rPr>
        <w:t>a</w:t>
      </w:r>
      <w:r w:rsidRPr="00782C60">
        <w:rPr>
          <w:rFonts w:ascii="Arial" w:hAnsi="Arial"/>
          <w:b/>
          <w:sz w:val="22"/>
        </w:rPr>
        <w:t xml:space="preserve"> 7 </w:t>
      </w:r>
      <w:r w:rsidR="00C2311A" w:rsidRPr="00782C60">
        <w:rPr>
          <w:rFonts w:ascii="Arial" w:hAnsi="Arial"/>
          <w:b/>
          <w:sz w:val="22"/>
        </w:rPr>
        <w:t>de julio de</w:t>
      </w:r>
      <w:r w:rsidRPr="00782C60">
        <w:rPr>
          <w:rFonts w:ascii="Arial" w:hAnsi="Arial"/>
          <w:b/>
          <w:sz w:val="22"/>
        </w:rPr>
        <w:t xml:space="preserve"> 2022</w:t>
      </w:r>
    </w:p>
    <w:p w14:paraId="1A8796C2" w14:textId="40FC3FE0" w:rsidR="00655736" w:rsidRPr="00782C60" w:rsidRDefault="00655736" w:rsidP="00655736">
      <w:pPr>
        <w:pStyle w:val="Sansinterligne2"/>
        <w:spacing w:before="1200"/>
        <w:jc w:val="center"/>
        <w:rPr>
          <w:rFonts w:ascii="Arial" w:hAnsi="Arial" w:cs="Arial"/>
          <w:b/>
          <w:sz w:val="22"/>
          <w:szCs w:val="22"/>
        </w:rPr>
      </w:pPr>
      <w:r w:rsidRPr="00782C60">
        <w:rPr>
          <w:rFonts w:ascii="Arial" w:hAnsi="Arial"/>
          <w:b/>
          <w:sz w:val="22"/>
          <w:u w:val="single"/>
        </w:rPr>
        <w:t>Punto 4 del orden del día provisional</w:t>
      </w:r>
      <w:r w:rsidRPr="00782C60">
        <w:rPr>
          <w:rFonts w:ascii="Arial" w:hAnsi="Arial"/>
          <w:b/>
          <w:sz w:val="22"/>
        </w:rPr>
        <w:t>:</w:t>
      </w:r>
    </w:p>
    <w:p w14:paraId="5EAF5ABB" w14:textId="5E11C29B" w:rsidR="002F312A" w:rsidRPr="00782C60" w:rsidRDefault="00CA770C" w:rsidP="002F312A">
      <w:pPr>
        <w:pStyle w:val="Sansinterligne2"/>
        <w:spacing w:after="1200"/>
        <w:jc w:val="center"/>
        <w:rPr>
          <w:rFonts w:ascii="Arial" w:hAnsi="Arial" w:cs="Arial"/>
          <w:b/>
          <w:sz w:val="22"/>
          <w:szCs w:val="22"/>
        </w:rPr>
      </w:pPr>
      <w:r w:rsidRPr="00782C60">
        <w:rPr>
          <w:rFonts w:ascii="Arial" w:hAnsi="Arial"/>
          <w:b/>
          <w:sz w:val="22"/>
        </w:rPr>
        <w:t>Distribución de los puestos del Comité por grupo electoral</w:t>
      </w:r>
    </w:p>
    <w:tbl>
      <w:tblPr>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tblGrid>
      <w:tr w:rsidR="00655736" w:rsidRPr="00782C60" w14:paraId="796B6D01" w14:textId="77777777" w:rsidTr="0079493F">
        <w:trPr>
          <w:jc w:val="center"/>
        </w:trPr>
        <w:tc>
          <w:tcPr>
            <w:tcW w:w="6295" w:type="dxa"/>
            <w:vAlign w:val="center"/>
          </w:tcPr>
          <w:p w14:paraId="08389200" w14:textId="3DC96EAA" w:rsidR="0057439C" w:rsidRPr="00782C60" w:rsidRDefault="0057439C" w:rsidP="00D54105">
            <w:pPr>
              <w:pStyle w:val="Sansinterligne1"/>
              <w:spacing w:before="120" w:after="120"/>
              <w:jc w:val="center"/>
              <w:rPr>
                <w:rFonts w:ascii="Arial" w:hAnsi="Arial" w:cs="Arial"/>
                <w:b/>
                <w:sz w:val="22"/>
                <w:szCs w:val="22"/>
              </w:rPr>
            </w:pPr>
            <w:r w:rsidRPr="00782C60">
              <w:rPr>
                <w:rFonts w:ascii="Arial" w:hAnsi="Arial"/>
                <w:b/>
                <w:sz w:val="22"/>
              </w:rPr>
              <w:t>Resumen</w:t>
            </w:r>
          </w:p>
          <w:p w14:paraId="73A754AF" w14:textId="06F6ABF3" w:rsidR="00CA770C" w:rsidRPr="00782C60" w:rsidRDefault="00CA770C" w:rsidP="00CC1DB1">
            <w:pPr>
              <w:pStyle w:val="Sansinterligne1"/>
              <w:spacing w:before="120" w:after="120"/>
              <w:jc w:val="both"/>
              <w:rPr>
                <w:rFonts w:ascii="Arial" w:hAnsi="Arial" w:cs="Arial"/>
                <w:bCs/>
                <w:sz w:val="22"/>
                <w:szCs w:val="22"/>
              </w:rPr>
            </w:pPr>
            <w:r w:rsidRPr="00782C60">
              <w:rPr>
                <w:rFonts w:ascii="Arial" w:hAnsi="Arial"/>
                <w:sz w:val="22"/>
              </w:rPr>
              <w:t xml:space="preserve">El Artículo 13.2 </w:t>
            </w:r>
            <w:r w:rsidR="00DE4430" w:rsidRPr="00782C60">
              <w:rPr>
                <w:rFonts w:ascii="Arial" w:hAnsi="Arial"/>
                <w:sz w:val="22"/>
              </w:rPr>
              <w:t>(</w:t>
            </w:r>
            <w:proofErr w:type="spellStart"/>
            <w:r w:rsidRPr="00782C60">
              <w:rPr>
                <w:rFonts w:ascii="Arial" w:hAnsi="Arial"/>
                <w:sz w:val="22"/>
              </w:rPr>
              <w:t>ii</w:t>
            </w:r>
            <w:proofErr w:type="spellEnd"/>
            <w:r w:rsidRPr="00782C60">
              <w:rPr>
                <w:rFonts w:ascii="Arial" w:hAnsi="Arial"/>
                <w:sz w:val="22"/>
              </w:rPr>
              <w:t>) del Reglamento de la Asamblea General de los Estados</w:t>
            </w:r>
            <w:r w:rsidR="000F5A4A" w:rsidRPr="00782C60">
              <w:rPr>
                <w:rFonts w:ascii="Arial" w:hAnsi="Arial"/>
                <w:sz w:val="22"/>
              </w:rPr>
              <w:t xml:space="preserve"> </w:t>
            </w:r>
            <w:r w:rsidRPr="00782C60">
              <w:rPr>
                <w:rFonts w:ascii="Arial" w:hAnsi="Arial"/>
                <w:sz w:val="22"/>
              </w:rPr>
              <w:t xml:space="preserve">Partes en la Convención estipula que los </w:t>
            </w:r>
            <w:r w:rsidR="000F5A4A" w:rsidRPr="00782C60">
              <w:rPr>
                <w:rFonts w:ascii="Arial" w:hAnsi="Arial"/>
                <w:sz w:val="22"/>
              </w:rPr>
              <w:t xml:space="preserve">veinticuatro </w:t>
            </w:r>
            <w:r w:rsidRPr="00782C60">
              <w:rPr>
                <w:rFonts w:ascii="Arial" w:hAnsi="Arial"/>
                <w:sz w:val="22"/>
              </w:rPr>
              <w:t xml:space="preserve">puestos del Comité se distribuirán entre los grupos electorales de manera proporcional al número de Estados Partes de cada grupo electoral, siempre que al término de esta distribución, se hayan atribuido como mínimo </w:t>
            </w:r>
            <w:r w:rsidR="00E94934">
              <w:rPr>
                <w:rFonts w:ascii="Arial" w:hAnsi="Arial"/>
                <w:sz w:val="22"/>
              </w:rPr>
              <w:t>tres</w:t>
            </w:r>
            <w:r w:rsidR="00E94934" w:rsidRPr="00782C60">
              <w:rPr>
                <w:rFonts w:ascii="Arial" w:hAnsi="Arial"/>
                <w:sz w:val="22"/>
              </w:rPr>
              <w:t xml:space="preserve"> </w:t>
            </w:r>
            <w:r w:rsidRPr="00782C60">
              <w:rPr>
                <w:rFonts w:ascii="Arial" w:hAnsi="Arial"/>
                <w:sz w:val="22"/>
              </w:rPr>
              <w:t xml:space="preserve">puestos a cada uno de los grupos. Asimismo, mediante su </w:t>
            </w:r>
            <w:hyperlink r:id="rId8" w:history="1">
              <w:r w:rsidRPr="00782C60">
                <w:rPr>
                  <w:rStyle w:val="Lienhypertexte"/>
                  <w:rFonts w:ascii="Arial" w:hAnsi="Arial"/>
                  <w:sz w:val="22"/>
                </w:rPr>
                <w:t>Resolución</w:t>
              </w:r>
              <w:r w:rsidR="000B65D4" w:rsidRPr="00782C60">
                <w:rPr>
                  <w:rStyle w:val="Lienhypertexte"/>
                  <w:rFonts w:ascii="Arial" w:hAnsi="Arial"/>
                  <w:sz w:val="22"/>
                </w:rPr>
                <w:t> </w:t>
              </w:r>
              <w:r w:rsidRPr="00782C60">
                <w:rPr>
                  <w:rStyle w:val="Lienhypertexte"/>
                  <w:rFonts w:ascii="Arial" w:hAnsi="Arial"/>
                  <w:sz w:val="22"/>
                </w:rPr>
                <w:t>3.GA 12</w:t>
              </w:r>
            </w:hyperlink>
            <w:r w:rsidRPr="00782C60">
              <w:rPr>
                <w:rFonts w:ascii="Arial" w:hAnsi="Arial"/>
                <w:sz w:val="22"/>
              </w:rPr>
              <w:t>, la Asamblea General decidió que el Artículo 13.2 será rigurosamente aplicado a las futuras elecciones, basándose exclusivamente en cálculos matemáticos.</w:t>
            </w:r>
          </w:p>
          <w:p w14:paraId="7D45CA36" w14:textId="6B9E5C07" w:rsidR="00655736" w:rsidRPr="00782C60" w:rsidRDefault="00FB6630" w:rsidP="00D54105">
            <w:pPr>
              <w:pStyle w:val="Sansinterligne2"/>
              <w:spacing w:before="120" w:after="120"/>
              <w:jc w:val="both"/>
              <w:rPr>
                <w:rFonts w:ascii="Arial" w:hAnsi="Arial" w:cs="Arial"/>
                <w:b/>
                <w:sz w:val="22"/>
                <w:szCs w:val="22"/>
              </w:rPr>
            </w:pPr>
            <w:r w:rsidRPr="00782C60">
              <w:rPr>
                <w:rFonts w:ascii="Arial" w:hAnsi="Arial"/>
                <w:b/>
                <w:sz w:val="22"/>
              </w:rPr>
              <w:t xml:space="preserve">Decisión requerida: </w:t>
            </w:r>
            <w:r w:rsidRPr="00782C60">
              <w:rPr>
                <w:rFonts w:ascii="Arial" w:hAnsi="Arial"/>
                <w:sz w:val="22"/>
              </w:rPr>
              <w:t>párrafo 5</w:t>
            </w:r>
          </w:p>
        </w:tc>
      </w:tr>
    </w:tbl>
    <w:p w14:paraId="1C879FAF" w14:textId="1A05C063" w:rsidR="009E2886" w:rsidRPr="00782C60" w:rsidRDefault="009E2886" w:rsidP="009E2886">
      <w:r w:rsidRPr="00782C60">
        <w:br w:type="page"/>
      </w:r>
    </w:p>
    <w:p w14:paraId="58CC8187" w14:textId="06D0E4E7" w:rsidR="00176720" w:rsidRPr="00782C60" w:rsidRDefault="00CC1DB1" w:rsidP="00C42C66">
      <w:pPr>
        <w:pStyle w:val="GAPara"/>
        <w:numPr>
          <w:ilvl w:val="0"/>
          <w:numId w:val="19"/>
        </w:numPr>
        <w:ind w:left="567" w:hanging="567"/>
        <w:jc w:val="both"/>
      </w:pPr>
      <w:r w:rsidRPr="00782C60">
        <w:lastRenderedPageBreak/>
        <w:t xml:space="preserve">De conformidad con el Artículo 13.2 </w:t>
      </w:r>
      <w:r w:rsidR="00814098" w:rsidRPr="00782C60">
        <w:t>(</w:t>
      </w:r>
      <w:proofErr w:type="spellStart"/>
      <w:r w:rsidRPr="00782C60">
        <w:t>ii</w:t>
      </w:r>
      <w:proofErr w:type="spellEnd"/>
      <w:r w:rsidRPr="00782C60">
        <w:t>) del Reglamento de la Asamblea General de los Estados Partes</w:t>
      </w:r>
      <w:r w:rsidR="004B0119" w:rsidRPr="00782C60">
        <w:t xml:space="preserve"> en la Convención</w:t>
      </w:r>
      <w:r w:rsidRPr="00782C60">
        <w:t xml:space="preserve">, los </w:t>
      </w:r>
      <w:r w:rsidR="00782C60" w:rsidRPr="00782C60">
        <w:t xml:space="preserve">veinticuatro </w:t>
      </w:r>
      <w:r w:rsidRPr="00782C60">
        <w:t xml:space="preserve">puestos del Comité se distribuirán entre los grupos electorales de manera proporcional al número de Estados Partes de cada grupo electoral, siempre que, al término de esta distribución, se hayan atribuido como mínimo </w:t>
      </w:r>
      <w:r w:rsidR="00F06870">
        <w:t>tres</w:t>
      </w:r>
      <w:r w:rsidR="00F06870" w:rsidRPr="00782C60">
        <w:t> </w:t>
      </w:r>
      <w:r w:rsidRPr="00782C60">
        <w:t>puestos a cada uno de los grupos.</w:t>
      </w:r>
    </w:p>
    <w:p w14:paraId="433BF5C9" w14:textId="5E5A6443" w:rsidR="00CC1DB1" w:rsidRPr="00782C60" w:rsidRDefault="00CC1DB1" w:rsidP="00C42C66">
      <w:pPr>
        <w:pStyle w:val="GAPara"/>
        <w:numPr>
          <w:ilvl w:val="0"/>
          <w:numId w:val="19"/>
        </w:numPr>
        <w:ind w:left="567" w:hanging="567"/>
        <w:jc w:val="both"/>
      </w:pPr>
      <w:r w:rsidRPr="00782C60">
        <w:t>Al 7 de abril de 2022, los siguientes 180 Estados han depositado sus respectivos instrumentos de ratificación, aceptación, aprobación o adhesión, y en virtud del Artículo 34 de la Convención, serán en consecuencia Estados Partes en la Convención en la fecha de la elección de los miembros del Comité, el 7 de julio de 2022.</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526"/>
      </w:tblGrid>
      <w:tr w:rsidR="00CC1DB1" w:rsidRPr="00782C60" w14:paraId="286F233A" w14:textId="77777777" w:rsidTr="00065AC4">
        <w:tc>
          <w:tcPr>
            <w:tcW w:w="852" w:type="pct"/>
            <w:tcBorders>
              <w:bottom w:val="single" w:sz="4" w:space="0" w:color="auto"/>
            </w:tcBorders>
            <w:shd w:val="clear" w:color="auto" w:fill="F3F3F3"/>
          </w:tcPr>
          <w:p w14:paraId="6E50EFE4"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I</w:t>
            </w:r>
            <w:r w:rsidRPr="00782C60">
              <w:rPr>
                <w:rFonts w:ascii="Arial" w:hAnsi="Arial"/>
                <w:b/>
                <w:snapToGrid w:val="0"/>
                <w:sz w:val="22"/>
              </w:rPr>
              <w:br/>
            </w:r>
            <w:r w:rsidRPr="00782C60">
              <w:rPr>
                <w:rFonts w:ascii="Arial" w:hAnsi="Arial"/>
                <w:snapToGrid w:val="0"/>
                <w:sz w:val="22"/>
              </w:rPr>
              <w:t>(22 Estados)</w:t>
            </w:r>
          </w:p>
        </w:tc>
        <w:tc>
          <w:tcPr>
            <w:tcW w:w="4148" w:type="pct"/>
          </w:tcPr>
          <w:p w14:paraId="320FEFCC" w14:textId="77777777" w:rsidR="00CC1DB1" w:rsidRPr="00782C60" w:rsidRDefault="00CC1DB1" w:rsidP="00065AC4">
            <w:pPr>
              <w:tabs>
                <w:tab w:val="left" w:pos="567"/>
              </w:tabs>
              <w:snapToGrid w:val="0"/>
              <w:spacing w:before="60" w:after="60"/>
              <w:jc w:val="both"/>
              <w:rPr>
                <w:rFonts w:ascii="Arial" w:hAnsi="Arial" w:cs="Arial"/>
                <w:snapToGrid w:val="0"/>
                <w:spacing w:val="-3"/>
                <w:sz w:val="22"/>
                <w:szCs w:val="22"/>
              </w:rPr>
            </w:pPr>
            <w:r w:rsidRPr="00782C60">
              <w:rPr>
                <w:rFonts w:ascii="Arial" w:hAnsi="Arial"/>
                <w:snapToGrid w:val="0"/>
                <w:sz w:val="22"/>
              </w:rPr>
              <w:t>Alemania, Andorra, Austria, Bélgica, Chipre, Dinamarca, España, Finlandia, Francia, Grecia, Irlanda, Islandia, Italia, Luxemburgo, Malta, Mónaco, Noruega, Países Bajos, Portugal, Suecia, Suiza, Turquía</w:t>
            </w:r>
          </w:p>
        </w:tc>
      </w:tr>
      <w:tr w:rsidR="00CC1DB1" w:rsidRPr="00782C60" w14:paraId="0B846354" w14:textId="77777777" w:rsidTr="00065AC4">
        <w:tc>
          <w:tcPr>
            <w:tcW w:w="852" w:type="pct"/>
            <w:tcBorders>
              <w:top w:val="single" w:sz="4" w:space="0" w:color="auto"/>
              <w:bottom w:val="single" w:sz="4" w:space="0" w:color="auto"/>
            </w:tcBorders>
            <w:shd w:val="clear" w:color="auto" w:fill="F3F3F3"/>
          </w:tcPr>
          <w:p w14:paraId="4AA731CD"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II</w:t>
            </w:r>
            <w:r w:rsidRPr="00782C60">
              <w:rPr>
                <w:rFonts w:ascii="Arial" w:hAnsi="Arial"/>
                <w:b/>
                <w:snapToGrid w:val="0"/>
                <w:sz w:val="22"/>
              </w:rPr>
              <w:br/>
            </w:r>
            <w:r w:rsidRPr="00782C60">
              <w:rPr>
                <w:rFonts w:ascii="Arial" w:hAnsi="Arial"/>
                <w:snapToGrid w:val="0"/>
                <w:sz w:val="22"/>
              </w:rPr>
              <w:t>(24 Estados)</w:t>
            </w:r>
          </w:p>
        </w:tc>
        <w:tc>
          <w:tcPr>
            <w:tcW w:w="4148" w:type="pct"/>
          </w:tcPr>
          <w:p w14:paraId="0B2E5520" w14:textId="77777777" w:rsidR="00CC1DB1" w:rsidRPr="00782C60" w:rsidRDefault="00CC1DB1" w:rsidP="00065AC4">
            <w:pPr>
              <w:tabs>
                <w:tab w:val="left" w:pos="567"/>
              </w:tabs>
              <w:snapToGrid w:val="0"/>
              <w:spacing w:before="60" w:after="60"/>
              <w:jc w:val="both"/>
              <w:rPr>
                <w:rFonts w:ascii="Arial" w:hAnsi="Arial" w:cs="Arial"/>
                <w:snapToGrid w:val="0"/>
                <w:spacing w:val="-3"/>
                <w:sz w:val="22"/>
                <w:szCs w:val="22"/>
              </w:rPr>
            </w:pPr>
            <w:r w:rsidRPr="00782C60">
              <w:rPr>
                <w:rFonts w:ascii="Arial" w:hAnsi="Arial"/>
                <w:snapToGrid w:val="0"/>
                <w:sz w:val="22"/>
              </w:rPr>
              <w:t xml:space="preserve">Albania, Armenia, Azerbaiyán, </w:t>
            </w:r>
            <w:proofErr w:type="spellStart"/>
            <w:r w:rsidRPr="00782C60">
              <w:rPr>
                <w:rFonts w:ascii="Arial" w:hAnsi="Arial"/>
                <w:snapToGrid w:val="0"/>
                <w:sz w:val="22"/>
              </w:rPr>
              <w:t>Belarús</w:t>
            </w:r>
            <w:proofErr w:type="spellEnd"/>
            <w:r w:rsidRPr="00782C60">
              <w:rPr>
                <w:rFonts w:ascii="Arial" w:hAnsi="Arial"/>
                <w:snapToGrid w:val="0"/>
                <w:sz w:val="22"/>
              </w:rPr>
              <w:t>, Bosnia y Herzegovina, Bulgaria, Chequia, Croacia, Eslovaquia, Eslovenia, Estonia, Georgia, Hungría, Letonia, Lituania, Macedonia del Norte, Montenegro, Polonia, República de Moldova, Rumania, Serbia, Tayikistán, Ucrania, Uzbekistán</w:t>
            </w:r>
          </w:p>
        </w:tc>
      </w:tr>
      <w:tr w:rsidR="00CC1DB1" w:rsidRPr="00782C60" w14:paraId="7616E4D3" w14:textId="77777777" w:rsidTr="00065AC4">
        <w:tc>
          <w:tcPr>
            <w:tcW w:w="852" w:type="pct"/>
            <w:tcBorders>
              <w:top w:val="single" w:sz="4" w:space="0" w:color="auto"/>
              <w:bottom w:val="single" w:sz="4" w:space="0" w:color="auto"/>
            </w:tcBorders>
            <w:shd w:val="clear" w:color="auto" w:fill="F3F3F3"/>
          </w:tcPr>
          <w:p w14:paraId="70E3318E"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III</w:t>
            </w:r>
            <w:r w:rsidRPr="00782C60">
              <w:rPr>
                <w:rFonts w:ascii="Arial" w:hAnsi="Arial"/>
                <w:b/>
                <w:snapToGrid w:val="0"/>
                <w:sz w:val="22"/>
              </w:rPr>
              <w:br/>
            </w:r>
            <w:r w:rsidRPr="00782C60">
              <w:rPr>
                <w:rFonts w:ascii="Arial" w:hAnsi="Arial"/>
                <w:snapToGrid w:val="0"/>
                <w:sz w:val="22"/>
              </w:rPr>
              <w:t>(32 Estados)</w:t>
            </w:r>
          </w:p>
        </w:tc>
        <w:tc>
          <w:tcPr>
            <w:tcW w:w="4148" w:type="pct"/>
          </w:tcPr>
          <w:p w14:paraId="56F0FC96" w14:textId="162CB98A" w:rsidR="00CC1DB1" w:rsidRPr="00782C60" w:rsidRDefault="00CC1DB1" w:rsidP="00065AC4">
            <w:pPr>
              <w:tabs>
                <w:tab w:val="left" w:pos="567"/>
              </w:tabs>
              <w:snapToGrid w:val="0"/>
              <w:spacing w:before="60" w:after="60"/>
              <w:jc w:val="both"/>
              <w:rPr>
                <w:rFonts w:ascii="Arial" w:hAnsi="Arial" w:cs="Arial"/>
                <w:snapToGrid w:val="0"/>
                <w:spacing w:val="-3"/>
                <w:sz w:val="22"/>
                <w:szCs w:val="22"/>
              </w:rPr>
            </w:pPr>
            <w:r w:rsidRPr="00782C60">
              <w:rPr>
                <w:rFonts w:ascii="Arial" w:hAnsi="Arial"/>
                <w:snapToGrid w:val="0"/>
                <w:sz w:val="22"/>
              </w:rPr>
              <w:t xml:space="preserve">Antigua y Barbuda, Argentina, Bahamas, Barbados, Belice, Bolivia (Estado Plurinacional de), Brasil, Chile, Colombia, Costa Rica, Cuba, Dominica, Ecuador, El Salvador, Granada, Guatemala, Haití, Honduras, Jamaica, México, Nicaragua, Panamá, Paraguay, Perú, República Dominicana, Saint </w:t>
            </w:r>
            <w:proofErr w:type="spellStart"/>
            <w:r w:rsidRPr="00782C60">
              <w:rPr>
                <w:rFonts w:ascii="Arial" w:hAnsi="Arial"/>
                <w:snapToGrid w:val="0"/>
                <w:sz w:val="22"/>
              </w:rPr>
              <w:t>Kitts</w:t>
            </w:r>
            <w:proofErr w:type="spellEnd"/>
            <w:r w:rsidRPr="00782C60">
              <w:rPr>
                <w:rFonts w:ascii="Arial" w:hAnsi="Arial"/>
                <w:snapToGrid w:val="0"/>
                <w:sz w:val="22"/>
              </w:rPr>
              <w:t xml:space="preserve"> y </w:t>
            </w:r>
            <w:proofErr w:type="spellStart"/>
            <w:r w:rsidRPr="00782C60">
              <w:rPr>
                <w:rFonts w:ascii="Arial" w:hAnsi="Arial"/>
                <w:snapToGrid w:val="0"/>
                <w:sz w:val="22"/>
              </w:rPr>
              <w:t>Nevis</w:t>
            </w:r>
            <w:proofErr w:type="spellEnd"/>
            <w:r w:rsidRPr="00782C60">
              <w:rPr>
                <w:rFonts w:ascii="Arial" w:hAnsi="Arial"/>
                <w:snapToGrid w:val="0"/>
                <w:sz w:val="22"/>
              </w:rPr>
              <w:t xml:space="preserve">, San Vicente y las Granadinas, Santa Lucía, </w:t>
            </w:r>
            <w:proofErr w:type="spellStart"/>
            <w:r w:rsidRPr="00782C60">
              <w:rPr>
                <w:rFonts w:ascii="Arial" w:hAnsi="Arial"/>
                <w:snapToGrid w:val="0"/>
                <w:sz w:val="22"/>
              </w:rPr>
              <w:t>Suriname</w:t>
            </w:r>
            <w:proofErr w:type="spellEnd"/>
            <w:r w:rsidRPr="00782C60">
              <w:rPr>
                <w:rFonts w:ascii="Arial" w:hAnsi="Arial"/>
                <w:snapToGrid w:val="0"/>
                <w:sz w:val="22"/>
              </w:rPr>
              <w:t xml:space="preserve">, Trinidad y </w:t>
            </w:r>
            <w:proofErr w:type="spellStart"/>
            <w:r w:rsidRPr="00782C60">
              <w:rPr>
                <w:rFonts w:ascii="Arial" w:hAnsi="Arial"/>
                <w:snapToGrid w:val="0"/>
                <w:sz w:val="22"/>
              </w:rPr>
              <w:t>T</w:t>
            </w:r>
            <w:r w:rsidR="00592362">
              <w:rPr>
                <w:rFonts w:ascii="Arial" w:hAnsi="Arial"/>
                <w:snapToGrid w:val="0"/>
                <w:sz w:val="22"/>
              </w:rPr>
              <w:t>a</w:t>
            </w:r>
            <w:r w:rsidRPr="00782C60">
              <w:rPr>
                <w:rFonts w:ascii="Arial" w:hAnsi="Arial"/>
                <w:snapToGrid w:val="0"/>
                <w:sz w:val="22"/>
              </w:rPr>
              <w:t>bago</w:t>
            </w:r>
            <w:proofErr w:type="spellEnd"/>
            <w:r w:rsidRPr="00782C60">
              <w:rPr>
                <w:rFonts w:ascii="Arial" w:hAnsi="Arial"/>
                <w:snapToGrid w:val="0"/>
                <w:sz w:val="22"/>
              </w:rPr>
              <w:t>, Uruguay, Venezuela (República Bolivariana de)</w:t>
            </w:r>
          </w:p>
        </w:tc>
      </w:tr>
      <w:tr w:rsidR="00CC1DB1" w:rsidRPr="00782C60" w14:paraId="2BD9912B" w14:textId="77777777" w:rsidTr="00065AC4">
        <w:tc>
          <w:tcPr>
            <w:tcW w:w="852" w:type="pct"/>
            <w:tcBorders>
              <w:top w:val="single" w:sz="4" w:space="0" w:color="auto"/>
              <w:bottom w:val="single" w:sz="4" w:space="0" w:color="auto"/>
            </w:tcBorders>
            <w:shd w:val="clear" w:color="auto" w:fill="F3F3F3"/>
          </w:tcPr>
          <w:p w14:paraId="675566CA"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IV</w:t>
            </w:r>
            <w:r w:rsidRPr="00782C60">
              <w:rPr>
                <w:rFonts w:ascii="Arial" w:hAnsi="Arial"/>
                <w:b/>
                <w:snapToGrid w:val="0"/>
                <w:sz w:val="22"/>
              </w:rPr>
              <w:br/>
            </w:r>
            <w:r w:rsidRPr="00782C60">
              <w:rPr>
                <w:rFonts w:ascii="Arial" w:hAnsi="Arial"/>
                <w:snapToGrid w:val="0"/>
                <w:sz w:val="22"/>
              </w:rPr>
              <w:t>(40 Estados)</w:t>
            </w:r>
          </w:p>
        </w:tc>
        <w:tc>
          <w:tcPr>
            <w:tcW w:w="4148" w:type="pct"/>
          </w:tcPr>
          <w:p w14:paraId="52554233" w14:textId="77777777" w:rsidR="00CC1DB1" w:rsidRPr="00782C60" w:rsidRDefault="00CC1DB1" w:rsidP="00065AC4">
            <w:pPr>
              <w:tabs>
                <w:tab w:val="left" w:pos="567"/>
              </w:tabs>
              <w:snapToGrid w:val="0"/>
              <w:spacing w:before="60" w:after="60"/>
              <w:jc w:val="both"/>
              <w:rPr>
                <w:rFonts w:ascii="Arial" w:hAnsi="Arial" w:cs="Arial"/>
                <w:snapToGrid w:val="0"/>
                <w:spacing w:val="-3"/>
                <w:sz w:val="22"/>
                <w:szCs w:val="22"/>
              </w:rPr>
            </w:pPr>
            <w:bookmarkStart w:id="0" w:name="_Hlk105161334"/>
            <w:r w:rsidRPr="00782C60">
              <w:rPr>
                <w:rFonts w:ascii="Arial" w:hAnsi="Arial"/>
                <w:snapToGrid w:val="0"/>
                <w:sz w:val="22"/>
              </w:rPr>
              <w:t xml:space="preserve">Afganistán, </w:t>
            </w:r>
            <w:r w:rsidRPr="00782C60">
              <w:rPr>
                <w:rFonts w:ascii="Arial" w:hAnsi="Arial"/>
                <w:snapToGrid w:val="0"/>
                <w:color w:val="000000"/>
                <w:sz w:val="22"/>
              </w:rPr>
              <w:t xml:space="preserve">Bangladesh, </w:t>
            </w:r>
            <w:proofErr w:type="spellStart"/>
            <w:r w:rsidRPr="00782C60">
              <w:rPr>
                <w:rFonts w:ascii="Arial" w:hAnsi="Arial"/>
                <w:snapToGrid w:val="0"/>
                <w:sz w:val="22"/>
              </w:rPr>
              <w:t>Bhután</w:t>
            </w:r>
            <w:proofErr w:type="spellEnd"/>
            <w:r w:rsidRPr="00782C60">
              <w:rPr>
                <w:rFonts w:ascii="Arial" w:hAnsi="Arial"/>
                <w:snapToGrid w:val="0"/>
                <w:sz w:val="22"/>
              </w:rPr>
              <w:t xml:space="preserve">, </w:t>
            </w:r>
            <w:proofErr w:type="spellStart"/>
            <w:r w:rsidRPr="00782C60">
              <w:rPr>
                <w:rFonts w:ascii="Arial" w:hAnsi="Arial"/>
                <w:snapToGrid w:val="0"/>
                <w:sz w:val="22"/>
              </w:rPr>
              <w:t>Brunei</w:t>
            </w:r>
            <w:proofErr w:type="spellEnd"/>
            <w:r w:rsidRPr="00782C60">
              <w:rPr>
                <w:rFonts w:ascii="Arial" w:hAnsi="Arial"/>
                <w:snapToGrid w:val="0"/>
                <w:sz w:val="22"/>
              </w:rPr>
              <w:t xml:space="preserve"> Darussalam, Camboya, China, </w:t>
            </w:r>
            <w:proofErr w:type="spellStart"/>
            <w:r w:rsidRPr="00782C60">
              <w:rPr>
                <w:rFonts w:ascii="Arial" w:hAnsi="Arial"/>
                <w:snapToGrid w:val="0"/>
                <w:color w:val="000000"/>
                <w:sz w:val="22"/>
              </w:rPr>
              <w:t>Fiji</w:t>
            </w:r>
            <w:proofErr w:type="spellEnd"/>
            <w:r w:rsidRPr="00782C60">
              <w:rPr>
                <w:rFonts w:ascii="Arial" w:hAnsi="Arial"/>
                <w:snapToGrid w:val="0"/>
                <w:color w:val="000000"/>
                <w:sz w:val="22"/>
              </w:rPr>
              <w:t xml:space="preserve">, </w:t>
            </w:r>
            <w:r w:rsidRPr="00782C60">
              <w:rPr>
                <w:rFonts w:ascii="Arial" w:hAnsi="Arial"/>
                <w:snapToGrid w:val="0"/>
                <w:sz w:val="22"/>
              </w:rPr>
              <w:t xml:space="preserve">Filipinas, India, Indonesia, Irán (República Islámica del), Islas Cook, Islas Marshall, Islas Salomón, Japón, Kazajstán, Kirguistán, Kiribati, </w:t>
            </w:r>
            <w:r w:rsidRPr="00782C60">
              <w:rPr>
                <w:rFonts w:ascii="Arial" w:hAnsi="Arial"/>
                <w:snapToGrid w:val="0"/>
                <w:color w:val="000000"/>
                <w:sz w:val="22"/>
              </w:rPr>
              <w:t xml:space="preserve">Malasia, Micronesia (Estados Federados de), </w:t>
            </w:r>
            <w:r w:rsidRPr="00782C60">
              <w:rPr>
                <w:rFonts w:ascii="Arial" w:hAnsi="Arial"/>
                <w:snapToGrid w:val="0"/>
                <w:sz w:val="22"/>
              </w:rPr>
              <w:t xml:space="preserve">Mongolia, Myanmar, Nauru, Nepal, Pakistán, Palau, </w:t>
            </w:r>
            <w:proofErr w:type="spellStart"/>
            <w:r w:rsidRPr="00782C60">
              <w:rPr>
                <w:rFonts w:ascii="Arial" w:hAnsi="Arial"/>
                <w:snapToGrid w:val="0"/>
                <w:color w:val="000000"/>
                <w:sz w:val="22"/>
              </w:rPr>
              <w:t>Papua</w:t>
            </w:r>
            <w:proofErr w:type="spellEnd"/>
            <w:r w:rsidRPr="00782C60">
              <w:rPr>
                <w:rFonts w:ascii="Arial" w:hAnsi="Arial"/>
                <w:snapToGrid w:val="0"/>
                <w:color w:val="000000"/>
                <w:sz w:val="22"/>
              </w:rPr>
              <w:t xml:space="preserve"> Nueva Guinea, </w:t>
            </w:r>
            <w:r w:rsidRPr="00782C60">
              <w:rPr>
                <w:rFonts w:ascii="Arial" w:hAnsi="Arial"/>
                <w:snapToGrid w:val="0"/>
                <w:sz w:val="22"/>
              </w:rPr>
              <w:t xml:space="preserve">República de Corea, República Democrática Popular Lao, República Popular Democrática de Corea, Samoa, Singapur, </w:t>
            </w:r>
            <w:r w:rsidRPr="00782C60">
              <w:rPr>
                <w:rFonts w:ascii="Arial" w:hAnsi="Arial"/>
                <w:snapToGrid w:val="0"/>
                <w:color w:val="000000"/>
                <w:sz w:val="22"/>
              </w:rPr>
              <w:t xml:space="preserve">Sri Lanka, Tailandia, Timor-Leste, Tonga, </w:t>
            </w:r>
            <w:r w:rsidRPr="00782C60">
              <w:rPr>
                <w:rFonts w:ascii="Arial" w:hAnsi="Arial"/>
                <w:snapToGrid w:val="0"/>
                <w:sz w:val="22"/>
              </w:rPr>
              <w:t xml:space="preserve">Turkmenistán, Tuvalu, Vanuatu, </w:t>
            </w:r>
            <w:proofErr w:type="spellStart"/>
            <w:r w:rsidRPr="00782C60">
              <w:rPr>
                <w:rFonts w:ascii="Arial" w:hAnsi="Arial"/>
                <w:snapToGrid w:val="0"/>
                <w:sz w:val="22"/>
              </w:rPr>
              <w:t>Viet</w:t>
            </w:r>
            <w:proofErr w:type="spellEnd"/>
            <w:r w:rsidRPr="00782C60">
              <w:rPr>
                <w:rFonts w:ascii="Arial" w:hAnsi="Arial"/>
                <w:snapToGrid w:val="0"/>
                <w:sz w:val="22"/>
              </w:rPr>
              <w:t> </w:t>
            </w:r>
            <w:proofErr w:type="spellStart"/>
            <w:r w:rsidRPr="00782C60">
              <w:rPr>
                <w:rFonts w:ascii="Arial" w:hAnsi="Arial"/>
                <w:snapToGrid w:val="0"/>
                <w:sz w:val="22"/>
              </w:rPr>
              <w:t>Nam</w:t>
            </w:r>
            <w:bookmarkEnd w:id="0"/>
            <w:proofErr w:type="spellEnd"/>
          </w:p>
        </w:tc>
      </w:tr>
      <w:tr w:rsidR="00CC1DB1" w:rsidRPr="00782C60" w14:paraId="789BB88C" w14:textId="77777777" w:rsidTr="00065AC4">
        <w:tc>
          <w:tcPr>
            <w:tcW w:w="852" w:type="pct"/>
            <w:tcBorders>
              <w:top w:val="single" w:sz="4" w:space="0" w:color="auto"/>
              <w:bottom w:val="single" w:sz="4" w:space="0" w:color="auto"/>
            </w:tcBorders>
            <w:shd w:val="clear" w:color="auto" w:fill="F3F3F3"/>
          </w:tcPr>
          <w:p w14:paraId="54A2F503"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V(a)</w:t>
            </w:r>
            <w:r w:rsidRPr="00782C60">
              <w:rPr>
                <w:rFonts w:ascii="Arial" w:hAnsi="Arial"/>
                <w:b/>
                <w:snapToGrid w:val="0"/>
                <w:sz w:val="22"/>
              </w:rPr>
              <w:br/>
            </w:r>
            <w:r w:rsidRPr="00782C60">
              <w:rPr>
                <w:rFonts w:ascii="Arial" w:hAnsi="Arial"/>
                <w:snapToGrid w:val="0"/>
                <w:sz w:val="22"/>
              </w:rPr>
              <w:t>(44 Estados)</w:t>
            </w:r>
          </w:p>
        </w:tc>
        <w:tc>
          <w:tcPr>
            <w:tcW w:w="4148" w:type="pct"/>
          </w:tcPr>
          <w:p w14:paraId="0A9E5E7E" w14:textId="669B0FF5" w:rsidR="00CC1DB1" w:rsidRPr="002A1045" w:rsidRDefault="00CC1DB1" w:rsidP="00065AC4">
            <w:pPr>
              <w:tabs>
                <w:tab w:val="left" w:pos="567"/>
              </w:tabs>
              <w:snapToGrid w:val="0"/>
              <w:spacing w:before="60" w:after="60"/>
              <w:jc w:val="both"/>
              <w:rPr>
                <w:rFonts w:ascii="Arial" w:hAnsi="Arial" w:cs="Arial"/>
                <w:snapToGrid w:val="0"/>
                <w:spacing w:val="-3"/>
                <w:sz w:val="22"/>
                <w:szCs w:val="22"/>
              </w:rPr>
            </w:pPr>
            <w:r w:rsidRPr="002A1045">
              <w:rPr>
                <w:rFonts w:ascii="Arial" w:hAnsi="Arial"/>
                <w:snapToGrid w:val="0"/>
                <w:sz w:val="22"/>
              </w:rPr>
              <w:t xml:space="preserve">Angola, </w:t>
            </w:r>
            <w:proofErr w:type="spellStart"/>
            <w:r w:rsidRPr="002A1045">
              <w:rPr>
                <w:rFonts w:ascii="Arial" w:hAnsi="Arial"/>
                <w:snapToGrid w:val="0"/>
                <w:sz w:val="22"/>
              </w:rPr>
              <w:t>Benin</w:t>
            </w:r>
            <w:proofErr w:type="spellEnd"/>
            <w:r w:rsidRPr="002A1045">
              <w:rPr>
                <w:rFonts w:ascii="Arial" w:hAnsi="Arial"/>
                <w:snapToGrid w:val="0"/>
                <w:sz w:val="22"/>
              </w:rPr>
              <w:t xml:space="preserve">, Botswana, Burkina Faso, Burundi, Cabo Verde, Camerún, </w:t>
            </w:r>
            <w:r w:rsidRPr="002A1045">
              <w:rPr>
                <w:rFonts w:ascii="Arial" w:hAnsi="Arial"/>
                <w:snapToGrid w:val="0"/>
                <w:color w:val="000000"/>
                <w:sz w:val="22"/>
              </w:rPr>
              <w:t xml:space="preserve">Chad, Comoras, Congo, </w:t>
            </w:r>
            <w:proofErr w:type="spellStart"/>
            <w:r w:rsidRPr="002A1045">
              <w:rPr>
                <w:rFonts w:ascii="Arial" w:hAnsi="Arial"/>
                <w:snapToGrid w:val="0"/>
                <w:sz w:val="22"/>
              </w:rPr>
              <w:t>Côte</w:t>
            </w:r>
            <w:proofErr w:type="spellEnd"/>
            <w:r w:rsidRPr="002A1045">
              <w:rPr>
                <w:rFonts w:ascii="Arial" w:hAnsi="Arial"/>
                <w:snapToGrid w:val="0"/>
                <w:sz w:val="22"/>
              </w:rPr>
              <w:t xml:space="preserve"> </w:t>
            </w:r>
            <w:proofErr w:type="spellStart"/>
            <w:r w:rsidRPr="002A1045">
              <w:rPr>
                <w:rFonts w:ascii="Arial" w:hAnsi="Arial"/>
                <w:snapToGrid w:val="0"/>
                <w:sz w:val="22"/>
              </w:rPr>
              <w:t>d’Ivoire</w:t>
            </w:r>
            <w:proofErr w:type="spellEnd"/>
            <w:r w:rsidRPr="002A1045">
              <w:rPr>
                <w:rFonts w:ascii="Arial" w:hAnsi="Arial"/>
                <w:snapToGrid w:val="0"/>
                <w:sz w:val="22"/>
              </w:rPr>
              <w:t xml:space="preserve">, </w:t>
            </w:r>
            <w:proofErr w:type="spellStart"/>
            <w:r w:rsidR="00A504BA">
              <w:rPr>
                <w:rFonts w:ascii="Arial" w:hAnsi="Arial"/>
                <w:snapToGrid w:val="0"/>
                <w:sz w:val="22"/>
              </w:rPr>
              <w:t>Djibuti</w:t>
            </w:r>
            <w:proofErr w:type="spellEnd"/>
            <w:r w:rsidR="00A504BA">
              <w:rPr>
                <w:rFonts w:ascii="Arial" w:hAnsi="Arial"/>
                <w:snapToGrid w:val="0"/>
                <w:sz w:val="22"/>
              </w:rPr>
              <w:t xml:space="preserve">, </w:t>
            </w:r>
            <w:r w:rsidRPr="002A1045">
              <w:rPr>
                <w:rFonts w:ascii="Arial" w:hAnsi="Arial"/>
                <w:snapToGrid w:val="0"/>
                <w:sz w:val="22"/>
              </w:rPr>
              <w:t>Eritrea, E</w:t>
            </w:r>
            <w:proofErr w:type="spellStart"/>
            <w:r w:rsidRPr="002A1045">
              <w:rPr>
                <w:rFonts w:ascii="Arial" w:hAnsi="Arial"/>
                <w:snapToGrid w:val="0"/>
                <w:sz w:val="22"/>
              </w:rPr>
              <w:t>swatini</w:t>
            </w:r>
            <w:proofErr w:type="spellEnd"/>
            <w:r w:rsidRPr="002A1045">
              <w:rPr>
                <w:rFonts w:ascii="Arial" w:hAnsi="Arial"/>
                <w:snapToGrid w:val="0"/>
                <w:sz w:val="22"/>
              </w:rPr>
              <w:t xml:space="preserve">, Etiopía, Gabón, Gambia, Ghana, Guinea, Guinea Ecuatorial, Guinea-Bissau, </w:t>
            </w:r>
            <w:proofErr w:type="spellStart"/>
            <w:r w:rsidRPr="002A1045">
              <w:rPr>
                <w:rFonts w:ascii="Arial" w:hAnsi="Arial"/>
                <w:snapToGrid w:val="0"/>
                <w:sz w:val="22"/>
              </w:rPr>
              <w:t>Kenya</w:t>
            </w:r>
            <w:proofErr w:type="spellEnd"/>
            <w:r w:rsidRPr="002A1045">
              <w:rPr>
                <w:rFonts w:ascii="Arial" w:hAnsi="Arial"/>
                <w:snapToGrid w:val="0"/>
                <w:sz w:val="22"/>
              </w:rPr>
              <w:t xml:space="preserve">, </w:t>
            </w:r>
            <w:proofErr w:type="spellStart"/>
            <w:r w:rsidRPr="002A1045">
              <w:rPr>
                <w:rFonts w:ascii="Arial" w:hAnsi="Arial"/>
                <w:snapToGrid w:val="0"/>
                <w:color w:val="000000"/>
                <w:sz w:val="22"/>
              </w:rPr>
              <w:t>Lesotho</w:t>
            </w:r>
            <w:proofErr w:type="spellEnd"/>
            <w:r w:rsidRPr="002A1045">
              <w:rPr>
                <w:rFonts w:ascii="Arial" w:hAnsi="Arial"/>
                <w:snapToGrid w:val="0"/>
                <w:color w:val="000000"/>
                <w:sz w:val="22"/>
              </w:rPr>
              <w:t xml:space="preserve">, </w:t>
            </w:r>
            <w:r w:rsidRPr="002A1045">
              <w:rPr>
                <w:rFonts w:ascii="Arial" w:hAnsi="Arial"/>
                <w:snapToGrid w:val="0"/>
                <w:sz w:val="22"/>
              </w:rPr>
              <w:t xml:space="preserve">Madagascar, Malawi, Malí, Mauricio, Mozambique, Namibia, Níger, Nigeria, República Centroafricana, República Democrática del Congo, República Unida de </w:t>
            </w:r>
            <w:proofErr w:type="spellStart"/>
            <w:r w:rsidRPr="002A1045">
              <w:rPr>
                <w:rFonts w:ascii="Arial" w:hAnsi="Arial"/>
                <w:snapToGrid w:val="0"/>
                <w:sz w:val="22"/>
              </w:rPr>
              <w:t>Tanzanía</w:t>
            </w:r>
            <w:proofErr w:type="spellEnd"/>
            <w:r w:rsidRPr="002A1045">
              <w:rPr>
                <w:rFonts w:ascii="Arial" w:hAnsi="Arial"/>
                <w:snapToGrid w:val="0"/>
                <w:sz w:val="22"/>
              </w:rPr>
              <w:t xml:space="preserve">, </w:t>
            </w:r>
            <w:r w:rsidR="008E061B" w:rsidRPr="002A1045">
              <w:rPr>
                <w:rFonts w:ascii="Arial" w:hAnsi="Arial"/>
                <w:snapToGrid w:val="0"/>
                <w:sz w:val="22"/>
              </w:rPr>
              <w:t xml:space="preserve">Ruanda, </w:t>
            </w:r>
            <w:r w:rsidRPr="002A1045">
              <w:rPr>
                <w:rFonts w:ascii="Arial" w:hAnsi="Arial"/>
                <w:snapToGrid w:val="0"/>
                <w:sz w:val="22"/>
              </w:rPr>
              <w:t xml:space="preserve">Santo Tomé y Príncipe, Senegal, Seychelles, Somalia, Sudán del Sur, </w:t>
            </w:r>
            <w:r w:rsidRPr="002A1045">
              <w:rPr>
                <w:rFonts w:ascii="Arial" w:hAnsi="Arial"/>
                <w:snapToGrid w:val="0"/>
                <w:color w:val="000000"/>
                <w:sz w:val="22"/>
              </w:rPr>
              <w:t xml:space="preserve">Togo, Uganda, </w:t>
            </w:r>
            <w:r w:rsidRPr="002A1045">
              <w:rPr>
                <w:rFonts w:ascii="Arial" w:hAnsi="Arial"/>
                <w:snapToGrid w:val="0"/>
                <w:sz w:val="22"/>
              </w:rPr>
              <w:t xml:space="preserve">Zambia, </w:t>
            </w:r>
            <w:proofErr w:type="spellStart"/>
            <w:r w:rsidRPr="002A1045">
              <w:rPr>
                <w:rFonts w:ascii="Arial" w:hAnsi="Arial"/>
                <w:snapToGrid w:val="0"/>
                <w:sz w:val="22"/>
              </w:rPr>
              <w:t>Zimbabwe</w:t>
            </w:r>
            <w:proofErr w:type="spellEnd"/>
          </w:p>
        </w:tc>
      </w:tr>
      <w:tr w:rsidR="00CC1DB1" w:rsidRPr="00782C60" w14:paraId="3A8C5C4B" w14:textId="77777777" w:rsidTr="00065AC4">
        <w:tc>
          <w:tcPr>
            <w:tcW w:w="852" w:type="pct"/>
            <w:tcBorders>
              <w:top w:val="single" w:sz="4" w:space="0" w:color="auto"/>
              <w:bottom w:val="single" w:sz="4" w:space="0" w:color="auto"/>
            </w:tcBorders>
            <w:shd w:val="clear" w:color="auto" w:fill="F3F3F3"/>
          </w:tcPr>
          <w:p w14:paraId="0903DC95" w14:textId="77777777" w:rsidR="00CC1DB1" w:rsidRPr="00782C60" w:rsidRDefault="00CC1DB1" w:rsidP="005A6291">
            <w:pPr>
              <w:tabs>
                <w:tab w:val="left" w:pos="567"/>
              </w:tabs>
              <w:snapToGrid w:val="0"/>
              <w:spacing w:before="60"/>
              <w:rPr>
                <w:rFonts w:ascii="Arial" w:hAnsi="Arial" w:cs="Arial"/>
                <w:b/>
                <w:snapToGrid w:val="0"/>
                <w:spacing w:val="-3"/>
                <w:sz w:val="22"/>
                <w:szCs w:val="22"/>
              </w:rPr>
            </w:pPr>
            <w:r w:rsidRPr="00782C60">
              <w:rPr>
                <w:rFonts w:ascii="Arial" w:hAnsi="Arial"/>
                <w:b/>
                <w:snapToGrid w:val="0"/>
                <w:sz w:val="22"/>
              </w:rPr>
              <w:t>Grupo V(b)</w:t>
            </w:r>
            <w:r w:rsidRPr="00782C60">
              <w:rPr>
                <w:rFonts w:ascii="Arial" w:hAnsi="Arial"/>
                <w:b/>
                <w:snapToGrid w:val="0"/>
                <w:sz w:val="22"/>
              </w:rPr>
              <w:br/>
            </w:r>
            <w:r w:rsidRPr="00782C60">
              <w:rPr>
                <w:rFonts w:ascii="Arial" w:hAnsi="Arial"/>
                <w:snapToGrid w:val="0"/>
                <w:sz w:val="22"/>
              </w:rPr>
              <w:t>(18 Estados)</w:t>
            </w:r>
          </w:p>
        </w:tc>
        <w:tc>
          <w:tcPr>
            <w:tcW w:w="4148" w:type="pct"/>
          </w:tcPr>
          <w:p w14:paraId="7431EE35" w14:textId="77777777" w:rsidR="00CC1DB1" w:rsidRPr="00782C60" w:rsidRDefault="00CC1DB1" w:rsidP="00065AC4">
            <w:pPr>
              <w:tabs>
                <w:tab w:val="left" w:pos="567"/>
              </w:tabs>
              <w:snapToGrid w:val="0"/>
              <w:spacing w:before="60" w:after="60"/>
              <w:jc w:val="both"/>
              <w:rPr>
                <w:rFonts w:ascii="Arial" w:hAnsi="Arial" w:cs="Arial"/>
                <w:snapToGrid w:val="0"/>
                <w:spacing w:val="-3"/>
                <w:sz w:val="22"/>
                <w:szCs w:val="22"/>
              </w:rPr>
            </w:pPr>
            <w:r w:rsidRPr="00782C60">
              <w:rPr>
                <w:rFonts w:ascii="Arial" w:hAnsi="Arial"/>
                <w:snapToGrid w:val="0"/>
                <w:sz w:val="22"/>
              </w:rPr>
              <w:t xml:space="preserve">Arabia Saudita, Argelia, </w:t>
            </w:r>
            <w:proofErr w:type="spellStart"/>
            <w:r w:rsidRPr="00782C60">
              <w:rPr>
                <w:rFonts w:ascii="Arial" w:hAnsi="Arial"/>
                <w:snapToGrid w:val="0"/>
                <w:sz w:val="22"/>
              </w:rPr>
              <w:t>Bahrein</w:t>
            </w:r>
            <w:proofErr w:type="spellEnd"/>
            <w:r w:rsidRPr="00782C60">
              <w:rPr>
                <w:rFonts w:ascii="Arial" w:hAnsi="Arial"/>
                <w:snapToGrid w:val="0"/>
                <w:sz w:val="22"/>
              </w:rPr>
              <w:t xml:space="preserve">, Egipto, Emiratos Árabes Unidos, Iraq, Jordania, Kuwait, Líbano, Marruecos, Mauritania, Omán, Palestina, </w:t>
            </w:r>
            <w:r w:rsidRPr="00782C60">
              <w:rPr>
                <w:rFonts w:ascii="Arial" w:hAnsi="Arial"/>
                <w:snapToGrid w:val="0"/>
                <w:color w:val="000000"/>
                <w:sz w:val="22"/>
              </w:rPr>
              <w:t xml:space="preserve">Qatar, República Árabe Siria, Sudán, </w:t>
            </w:r>
            <w:r w:rsidRPr="00782C60">
              <w:rPr>
                <w:rFonts w:ascii="Arial" w:hAnsi="Arial"/>
                <w:snapToGrid w:val="0"/>
                <w:sz w:val="22"/>
              </w:rPr>
              <w:t>Túnez, Yemen</w:t>
            </w:r>
          </w:p>
        </w:tc>
      </w:tr>
    </w:tbl>
    <w:p w14:paraId="3891F9E6" w14:textId="5CE69138" w:rsidR="00C42C66" w:rsidRPr="00782C60" w:rsidRDefault="00EF5DDC" w:rsidP="00EF5DDC">
      <w:pPr>
        <w:pStyle w:val="GAPara"/>
        <w:numPr>
          <w:ilvl w:val="0"/>
          <w:numId w:val="19"/>
        </w:numPr>
        <w:spacing w:before="120"/>
        <w:ind w:left="562" w:hanging="562"/>
        <w:jc w:val="both"/>
      </w:pPr>
      <w:r w:rsidRPr="00782C60">
        <w:t xml:space="preserve">Mediante su </w:t>
      </w:r>
      <w:hyperlink r:id="rId9" w:history="1">
        <w:r w:rsidRPr="00782C60">
          <w:rPr>
            <w:rStyle w:val="Lienhypertexte"/>
          </w:rPr>
          <w:t>Resolución 3.GA 12</w:t>
        </w:r>
      </w:hyperlink>
      <w:r w:rsidRPr="00782C60">
        <w:t>, la Asamblea General decidió que el principio de proporcionalidad en el Artículo 13.2 del Reglamento, en plena conformidad con el principio de representación geográfica equitativa estipulado en el Artículo 6.1 de la Convención, será rigurosamente aplicado a las futuras elecciones, basándose exclusivamente en cálculos matemáticos.</w:t>
      </w:r>
    </w:p>
    <w:p w14:paraId="532CCEEF" w14:textId="16EA3595" w:rsidR="00C42C66" w:rsidRPr="00782C60" w:rsidRDefault="00EF5DDC" w:rsidP="00DE47F5">
      <w:pPr>
        <w:pStyle w:val="GAPara"/>
        <w:keepLines/>
        <w:numPr>
          <w:ilvl w:val="0"/>
          <w:numId w:val="19"/>
        </w:numPr>
        <w:ind w:left="567" w:hanging="567"/>
        <w:jc w:val="both"/>
      </w:pPr>
      <w:r w:rsidRPr="00782C60">
        <w:lastRenderedPageBreak/>
        <w:t xml:space="preserve">La distribución de puestos por grupo electoral de forma proporcional a la cantidad de Estados Partes puede, en consecuencia, ser establecida basándose en cálculos matemáticos, como lo indica el siguiente cuadro. En estos cálculos, la cantidad mínima de tres puestos se atribuye primeramente al grupo electoral V(b). Los </w:t>
      </w:r>
      <w:proofErr w:type="spellStart"/>
      <w:r w:rsidR="0057438F">
        <w:t>veinti</w:t>
      </w:r>
      <w:proofErr w:type="spellEnd"/>
      <w:r w:rsidR="00B63B13">
        <w:rPr>
          <w:lang w:val="es-CO"/>
        </w:rPr>
        <w:t>ú</w:t>
      </w:r>
      <w:r w:rsidR="0057438F">
        <w:t>n</w:t>
      </w:r>
      <w:r w:rsidR="0057438F" w:rsidRPr="00782C60">
        <w:t xml:space="preserve"> </w:t>
      </w:r>
      <w:r w:rsidRPr="00782C60">
        <w:t>puestos restantes se distribuyen entre los cinco grupos restantes, comenzando por el grupo que posea la fracción decimal más alta (grupo V(a)), luego el grupo con la segunda fracción decimal más alta (grupo IV). Sobre esta base, la presente reunión de la Asamblea debe elegir a los miembros del Comité en virtud del punto</w:t>
      </w:r>
      <w:r w:rsidR="00592362">
        <w:t> </w:t>
      </w:r>
      <w:r w:rsidRPr="00782C60">
        <w:t>11.</w:t>
      </w:r>
    </w:p>
    <w:tbl>
      <w:tblPr>
        <w:tblW w:w="773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1547"/>
        <w:gridCol w:w="1547"/>
        <w:gridCol w:w="1547"/>
        <w:gridCol w:w="1548"/>
      </w:tblGrid>
      <w:tr w:rsidR="00EF5DDC" w:rsidRPr="00782C60" w14:paraId="5D0A6810" w14:textId="77777777" w:rsidTr="00065AC4">
        <w:trPr>
          <w:cantSplit/>
          <w:trHeight w:val="300"/>
        </w:trPr>
        <w:tc>
          <w:tcPr>
            <w:tcW w:w="1547" w:type="dxa"/>
            <w:shd w:val="clear" w:color="auto" w:fill="D9D9D9"/>
            <w:noWrap/>
            <w:tcMar>
              <w:top w:w="0" w:type="dxa"/>
              <w:left w:w="108" w:type="dxa"/>
              <w:bottom w:w="0" w:type="dxa"/>
              <w:right w:w="108" w:type="dxa"/>
            </w:tcMar>
            <w:vAlign w:val="center"/>
          </w:tcPr>
          <w:p w14:paraId="477EF240"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 xml:space="preserve">Grupo </w:t>
            </w:r>
            <w:r w:rsidRPr="00782C60">
              <w:rPr>
                <w:rFonts w:ascii="Arial" w:hAnsi="Arial"/>
                <w:b/>
                <w:sz w:val="20"/>
              </w:rPr>
              <w:br/>
              <w:t>electoral</w:t>
            </w:r>
          </w:p>
        </w:tc>
        <w:tc>
          <w:tcPr>
            <w:tcW w:w="1547" w:type="dxa"/>
            <w:shd w:val="clear" w:color="auto" w:fill="D9D9D9"/>
            <w:noWrap/>
            <w:tcMar>
              <w:top w:w="0" w:type="dxa"/>
              <w:left w:w="108" w:type="dxa"/>
              <w:bottom w:w="0" w:type="dxa"/>
              <w:right w:w="108" w:type="dxa"/>
            </w:tcMar>
            <w:vAlign w:val="center"/>
          </w:tcPr>
          <w:p w14:paraId="6C20638E" w14:textId="77777777" w:rsidR="00EF5DDC" w:rsidRPr="00782C60" w:rsidRDefault="00EF5DDC" w:rsidP="00065AC4">
            <w:pPr>
              <w:keepNext/>
              <w:spacing w:before="120" w:after="120"/>
              <w:jc w:val="center"/>
              <w:rPr>
                <w:rFonts w:ascii="Arial" w:hAnsi="Arial" w:cs="Arial"/>
                <w:b/>
                <w:sz w:val="20"/>
                <w:szCs w:val="20"/>
              </w:rPr>
            </w:pPr>
            <w:proofErr w:type="gramStart"/>
            <w:r w:rsidRPr="00782C60">
              <w:rPr>
                <w:rFonts w:ascii="Arial" w:hAnsi="Arial"/>
                <w:b/>
                <w:sz w:val="20"/>
              </w:rPr>
              <w:t>Estados partes</w:t>
            </w:r>
            <w:proofErr w:type="gramEnd"/>
          </w:p>
        </w:tc>
        <w:tc>
          <w:tcPr>
            <w:tcW w:w="1547" w:type="dxa"/>
            <w:shd w:val="clear" w:color="auto" w:fill="D9D9D9"/>
            <w:noWrap/>
            <w:tcMar>
              <w:top w:w="0" w:type="dxa"/>
              <w:left w:w="108" w:type="dxa"/>
              <w:bottom w:w="0" w:type="dxa"/>
              <w:right w:w="108" w:type="dxa"/>
            </w:tcMar>
            <w:vAlign w:val="center"/>
          </w:tcPr>
          <w:p w14:paraId="3198246A"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Porcentaje</w:t>
            </w:r>
            <w:r w:rsidRPr="00782C60">
              <w:rPr>
                <w:rFonts w:ascii="Arial" w:hAnsi="Arial"/>
                <w:b/>
                <w:sz w:val="20"/>
              </w:rPr>
              <w:br/>
              <w:t>del total</w:t>
            </w:r>
          </w:p>
        </w:tc>
        <w:tc>
          <w:tcPr>
            <w:tcW w:w="1547" w:type="dxa"/>
            <w:shd w:val="clear" w:color="auto" w:fill="D9D9D9"/>
            <w:noWrap/>
            <w:tcMar>
              <w:top w:w="0" w:type="dxa"/>
              <w:left w:w="108" w:type="dxa"/>
              <w:bottom w:w="0" w:type="dxa"/>
              <w:right w:w="108" w:type="dxa"/>
            </w:tcMar>
            <w:vAlign w:val="center"/>
          </w:tcPr>
          <w:p w14:paraId="34B9CAA7"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Puestos (fracciones)</w:t>
            </w:r>
          </w:p>
        </w:tc>
        <w:tc>
          <w:tcPr>
            <w:tcW w:w="1548" w:type="dxa"/>
            <w:shd w:val="clear" w:color="auto" w:fill="D9D9D9"/>
            <w:vAlign w:val="center"/>
          </w:tcPr>
          <w:p w14:paraId="56A041D5" w14:textId="77777777" w:rsidR="00EF5DDC" w:rsidRPr="00782C60" w:rsidRDefault="00EF5DDC" w:rsidP="00065AC4">
            <w:pPr>
              <w:keepNext/>
              <w:spacing w:before="120" w:after="120"/>
              <w:jc w:val="center"/>
              <w:rPr>
                <w:rFonts w:ascii="Arial" w:hAnsi="Arial" w:cs="Arial"/>
                <w:b/>
                <w:bCs/>
                <w:sz w:val="20"/>
                <w:szCs w:val="20"/>
              </w:rPr>
            </w:pPr>
            <w:r w:rsidRPr="00782C60">
              <w:rPr>
                <w:rFonts w:ascii="Arial" w:hAnsi="Arial"/>
                <w:b/>
                <w:sz w:val="20"/>
              </w:rPr>
              <w:t>Puestos</w:t>
            </w:r>
            <w:r w:rsidRPr="00782C60">
              <w:rPr>
                <w:rFonts w:ascii="Arial" w:hAnsi="Arial"/>
                <w:b/>
                <w:sz w:val="20"/>
              </w:rPr>
              <w:br/>
              <w:t>(enteros)</w:t>
            </w:r>
          </w:p>
        </w:tc>
      </w:tr>
      <w:tr w:rsidR="00EF5DDC" w:rsidRPr="00782C60" w14:paraId="5C5AFC0A" w14:textId="77777777" w:rsidTr="00065AC4">
        <w:trPr>
          <w:cantSplit/>
          <w:trHeight w:val="300"/>
        </w:trPr>
        <w:tc>
          <w:tcPr>
            <w:tcW w:w="1547" w:type="dxa"/>
            <w:noWrap/>
            <w:tcMar>
              <w:top w:w="0" w:type="dxa"/>
              <w:left w:w="108" w:type="dxa"/>
              <w:bottom w:w="0" w:type="dxa"/>
              <w:right w:w="108" w:type="dxa"/>
            </w:tcMar>
            <w:vAlign w:val="center"/>
          </w:tcPr>
          <w:p w14:paraId="734705ED"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I</w:t>
            </w:r>
          </w:p>
        </w:tc>
        <w:tc>
          <w:tcPr>
            <w:tcW w:w="1547" w:type="dxa"/>
            <w:noWrap/>
            <w:tcMar>
              <w:top w:w="0" w:type="dxa"/>
              <w:left w:w="108" w:type="dxa"/>
              <w:bottom w:w="0" w:type="dxa"/>
              <w:right w:w="108" w:type="dxa"/>
            </w:tcMar>
            <w:vAlign w:val="center"/>
          </w:tcPr>
          <w:p w14:paraId="06BB4651"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22</w:t>
            </w:r>
          </w:p>
        </w:tc>
        <w:tc>
          <w:tcPr>
            <w:tcW w:w="1547" w:type="dxa"/>
            <w:noWrap/>
            <w:tcMar>
              <w:top w:w="0" w:type="dxa"/>
              <w:left w:w="108" w:type="dxa"/>
              <w:bottom w:w="0" w:type="dxa"/>
              <w:right w:w="108" w:type="dxa"/>
            </w:tcMar>
            <w:vAlign w:val="center"/>
          </w:tcPr>
          <w:p w14:paraId="59855695" w14:textId="135C9C65"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12,22 %</w:t>
            </w:r>
          </w:p>
        </w:tc>
        <w:tc>
          <w:tcPr>
            <w:tcW w:w="1547" w:type="dxa"/>
            <w:noWrap/>
            <w:tcMar>
              <w:top w:w="0" w:type="dxa"/>
              <w:left w:w="108" w:type="dxa"/>
              <w:bottom w:w="0" w:type="dxa"/>
              <w:right w:w="108" w:type="dxa"/>
            </w:tcMar>
            <w:vAlign w:val="center"/>
          </w:tcPr>
          <w:p w14:paraId="6B578511" w14:textId="100118D4"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2,93</w:t>
            </w:r>
          </w:p>
        </w:tc>
        <w:tc>
          <w:tcPr>
            <w:tcW w:w="1548" w:type="dxa"/>
            <w:vAlign w:val="center"/>
          </w:tcPr>
          <w:p w14:paraId="1798CF72"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3</w:t>
            </w:r>
          </w:p>
        </w:tc>
      </w:tr>
      <w:tr w:rsidR="00EF5DDC" w:rsidRPr="00782C60" w14:paraId="20FC61D3" w14:textId="77777777" w:rsidTr="00065AC4">
        <w:trPr>
          <w:cantSplit/>
          <w:trHeight w:val="300"/>
        </w:trPr>
        <w:tc>
          <w:tcPr>
            <w:tcW w:w="1547" w:type="dxa"/>
            <w:noWrap/>
            <w:tcMar>
              <w:top w:w="0" w:type="dxa"/>
              <w:left w:w="108" w:type="dxa"/>
              <w:bottom w:w="0" w:type="dxa"/>
              <w:right w:w="108" w:type="dxa"/>
            </w:tcMar>
            <w:vAlign w:val="center"/>
          </w:tcPr>
          <w:p w14:paraId="2983EB3E"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II</w:t>
            </w:r>
          </w:p>
        </w:tc>
        <w:tc>
          <w:tcPr>
            <w:tcW w:w="1547" w:type="dxa"/>
            <w:noWrap/>
            <w:tcMar>
              <w:top w:w="0" w:type="dxa"/>
              <w:left w:w="108" w:type="dxa"/>
              <w:bottom w:w="0" w:type="dxa"/>
              <w:right w:w="108" w:type="dxa"/>
            </w:tcMar>
            <w:vAlign w:val="center"/>
          </w:tcPr>
          <w:p w14:paraId="44E47AAC"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24</w:t>
            </w:r>
          </w:p>
        </w:tc>
        <w:tc>
          <w:tcPr>
            <w:tcW w:w="1547" w:type="dxa"/>
            <w:noWrap/>
            <w:tcMar>
              <w:top w:w="0" w:type="dxa"/>
              <w:left w:w="108" w:type="dxa"/>
              <w:bottom w:w="0" w:type="dxa"/>
              <w:right w:w="108" w:type="dxa"/>
            </w:tcMar>
            <w:vAlign w:val="center"/>
          </w:tcPr>
          <w:p w14:paraId="0C42E776" w14:textId="1C931EDD"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13,33 %</w:t>
            </w:r>
          </w:p>
        </w:tc>
        <w:tc>
          <w:tcPr>
            <w:tcW w:w="1547" w:type="dxa"/>
            <w:noWrap/>
            <w:tcMar>
              <w:top w:w="0" w:type="dxa"/>
              <w:left w:w="108" w:type="dxa"/>
              <w:bottom w:w="0" w:type="dxa"/>
              <w:right w:w="108" w:type="dxa"/>
            </w:tcMar>
            <w:vAlign w:val="center"/>
          </w:tcPr>
          <w:p w14:paraId="7DB65E93" w14:textId="7E835598"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3,20</w:t>
            </w:r>
          </w:p>
        </w:tc>
        <w:tc>
          <w:tcPr>
            <w:tcW w:w="1548" w:type="dxa"/>
            <w:vAlign w:val="center"/>
          </w:tcPr>
          <w:p w14:paraId="58571CE5"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3</w:t>
            </w:r>
          </w:p>
        </w:tc>
      </w:tr>
      <w:tr w:rsidR="00EF5DDC" w:rsidRPr="00782C60" w14:paraId="3E021E6B" w14:textId="77777777" w:rsidTr="00065AC4">
        <w:trPr>
          <w:cantSplit/>
          <w:trHeight w:val="300"/>
        </w:trPr>
        <w:tc>
          <w:tcPr>
            <w:tcW w:w="1547" w:type="dxa"/>
            <w:noWrap/>
            <w:tcMar>
              <w:top w:w="0" w:type="dxa"/>
              <w:left w:w="108" w:type="dxa"/>
              <w:bottom w:w="0" w:type="dxa"/>
              <w:right w:w="108" w:type="dxa"/>
            </w:tcMar>
            <w:vAlign w:val="center"/>
          </w:tcPr>
          <w:p w14:paraId="0D418CF5"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III</w:t>
            </w:r>
          </w:p>
        </w:tc>
        <w:tc>
          <w:tcPr>
            <w:tcW w:w="1547" w:type="dxa"/>
            <w:noWrap/>
            <w:tcMar>
              <w:top w:w="0" w:type="dxa"/>
              <w:left w:w="108" w:type="dxa"/>
              <w:bottom w:w="0" w:type="dxa"/>
              <w:right w:w="108" w:type="dxa"/>
            </w:tcMar>
            <w:vAlign w:val="center"/>
          </w:tcPr>
          <w:p w14:paraId="26C95A6A"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32</w:t>
            </w:r>
          </w:p>
        </w:tc>
        <w:tc>
          <w:tcPr>
            <w:tcW w:w="1547" w:type="dxa"/>
            <w:noWrap/>
            <w:tcMar>
              <w:top w:w="0" w:type="dxa"/>
              <w:left w:w="108" w:type="dxa"/>
              <w:bottom w:w="0" w:type="dxa"/>
              <w:right w:w="108" w:type="dxa"/>
            </w:tcMar>
            <w:vAlign w:val="center"/>
          </w:tcPr>
          <w:p w14:paraId="159E4BF5" w14:textId="797CEBE5"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17,78 %</w:t>
            </w:r>
          </w:p>
        </w:tc>
        <w:tc>
          <w:tcPr>
            <w:tcW w:w="1547" w:type="dxa"/>
            <w:noWrap/>
            <w:tcMar>
              <w:top w:w="0" w:type="dxa"/>
              <w:left w:w="108" w:type="dxa"/>
              <w:bottom w:w="0" w:type="dxa"/>
              <w:right w:w="108" w:type="dxa"/>
            </w:tcMar>
            <w:vAlign w:val="center"/>
          </w:tcPr>
          <w:p w14:paraId="74D4B95D" w14:textId="1F0077C5"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4,27</w:t>
            </w:r>
          </w:p>
        </w:tc>
        <w:tc>
          <w:tcPr>
            <w:tcW w:w="1548" w:type="dxa"/>
            <w:vAlign w:val="center"/>
          </w:tcPr>
          <w:p w14:paraId="1FD809F1"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4</w:t>
            </w:r>
          </w:p>
        </w:tc>
      </w:tr>
      <w:tr w:rsidR="00EF5DDC" w:rsidRPr="00782C60" w14:paraId="4DF0406E" w14:textId="77777777" w:rsidTr="00065AC4">
        <w:trPr>
          <w:cantSplit/>
          <w:trHeight w:val="300"/>
        </w:trPr>
        <w:tc>
          <w:tcPr>
            <w:tcW w:w="1547" w:type="dxa"/>
            <w:noWrap/>
            <w:tcMar>
              <w:top w:w="0" w:type="dxa"/>
              <w:left w:w="108" w:type="dxa"/>
              <w:bottom w:w="0" w:type="dxa"/>
              <w:right w:w="108" w:type="dxa"/>
            </w:tcMar>
            <w:vAlign w:val="center"/>
          </w:tcPr>
          <w:p w14:paraId="7255CDBA"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IV</w:t>
            </w:r>
          </w:p>
        </w:tc>
        <w:tc>
          <w:tcPr>
            <w:tcW w:w="1547" w:type="dxa"/>
            <w:noWrap/>
            <w:tcMar>
              <w:top w:w="0" w:type="dxa"/>
              <w:left w:w="108" w:type="dxa"/>
              <w:bottom w:w="0" w:type="dxa"/>
              <w:right w:w="108" w:type="dxa"/>
            </w:tcMar>
            <w:vAlign w:val="center"/>
          </w:tcPr>
          <w:p w14:paraId="60C2571F" w14:textId="34FF7D75"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40</w:t>
            </w:r>
          </w:p>
        </w:tc>
        <w:tc>
          <w:tcPr>
            <w:tcW w:w="1547" w:type="dxa"/>
            <w:noWrap/>
            <w:tcMar>
              <w:top w:w="0" w:type="dxa"/>
              <w:left w:w="108" w:type="dxa"/>
              <w:bottom w:w="0" w:type="dxa"/>
              <w:right w:w="108" w:type="dxa"/>
            </w:tcMar>
            <w:vAlign w:val="center"/>
          </w:tcPr>
          <w:p w14:paraId="1A953886" w14:textId="51065BD9"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22,22 %</w:t>
            </w:r>
          </w:p>
        </w:tc>
        <w:tc>
          <w:tcPr>
            <w:tcW w:w="1547" w:type="dxa"/>
            <w:noWrap/>
            <w:tcMar>
              <w:top w:w="0" w:type="dxa"/>
              <w:left w:w="108" w:type="dxa"/>
              <w:bottom w:w="0" w:type="dxa"/>
              <w:right w:w="108" w:type="dxa"/>
            </w:tcMar>
            <w:vAlign w:val="center"/>
          </w:tcPr>
          <w:p w14:paraId="69A6349C" w14:textId="6C999BF2"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5,33</w:t>
            </w:r>
          </w:p>
        </w:tc>
        <w:tc>
          <w:tcPr>
            <w:tcW w:w="1548" w:type="dxa"/>
            <w:vAlign w:val="center"/>
          </w:tcPr>
          <w:p w14:paraId="283D2CE6"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5</w:t>
            </w:r>
          </w:p>
        </w:tc>
      </w:tr>
      <w:tr w:rsidR="00EF5DDC" w:rsidRPr="00782C60" w14:paraId="0B9FCC64" w14:textId="77777777" w:rsidTr="00065AC4">
        <w:trPr>
          <w:cantSplit/>
          <w:trHeight w:val="300"/>
        </w:trPr>
        <w:tc>
          <w:tcPr>
            <w:tcW w:w="1547" w:type="dxa"/>
            <w:noWrap/>
            <w:tcMar>
              <w:top w:w="0" w:type="dxa"/>
              <w:left w:w="108" w:type="dxa"/>
              <w:bottom w:w="0" w:type="dxa"/>
              <w:right w:w="108" w:type="dxa"/>
            </w:tcMar>
            <w:vAlign w:val="center"/>
          </w:tcPr>
          <w:p w14:paraId="14E4A3BD"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V(a)</w:t>
            </w:r>
          </w:p>
        </w:tc>
        <w:tc>
          <w:tcPr>
            <w:tcW w:w="1547" w:type="dxa"/>
            <w:noWrap/>
            <w:tcMar>
              <w:top w:w="0" w:type="dxa"/>
              <w:left w:w="108" w:type="dxa"/>
              <w:bottom w:w="0" w:type="dxa"/>
              <w:right w:w="108" w:type="dxa"/>
            </w:tcMar>
            <w:vAlign w:val="center"/>
          </w:tcPr>
          <w:p w14:paraId="226A5318" w14:textId="74D154D0"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44</w:t>
            </w:r>
          </w:p>
        </w:tc>
        <w:tc>
          <w:tcPr>
            <w:tcW w:w="1547" w:type="dxa"/>
            <w:noWrap/>
            <w:tcMar>
              <w:top w:w="0" w:type="dxa"/>
              <w:left w:w="108" w:type="dxa"/>
              <w:bottom w:w="0" w:type="dxa"/>
              <w:right w:w="108" w:type="dxa"/>
            </w:tcMar>
            <w:vAlign w:val="center"/>
          </w:tcPr>
          <w:p w14:paraId="6402737E" w14:textId="74FC9650"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24,44 %</w:t>
            </w:r>
          </w:p>
        </w:tc>
        <w:tc>
          <w:tcPr>
            <w:tcW w:w="1547" w:type="dxa"/>
            <w:noWrap/>
            <w:tcMar>
              <w:top w:w="0" w:type="dxa"/>
              <w:left w:w="108" w:type="dxa"/>
              <w:bottom w:w="0" w:type="dxa"/>
              <w:right w:w="108" w:type="dxa"/>
            </w:tcMar>
            <w:vAlign w:val="center"/>
          </w:tcPr>
          <w:p w14:paraId="4D159651" w14:textId="58E1B543"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5,87</w:t>
            </w:r>
          </w:p>
        </w:tc>
        <w:tc>
          <w:tcPr>
            <w:tcW w:w="1548" w:type="dxa"/>
            <w:vAlign w:val="center"/>
          </w:tcPr>
          <w:p w14:paraId="503490B2" w14:textId="77777777" w:rsidR="00EF5DDC" w:rsidRPr="00782C60" w:rsidRDefault="00EF5DDC" w:rsidP="00065AC4">
            <w:pPr>
              <w:keepNext/>
              <w:spacing w:before="120" w:after="120"/>
              <w:jc w:val="center"/>
              <w:rPr>
                <w:rFonts w:ascii="Arial" w:hAnsi="Arial" w:cs="Arial"/>
                <w:sz w:val="20"/>
                <w:szCs w:val="20"/>
                <w:highlight w:val="green"/>
              </w:rPr>
            </w:pPr>
            <w:r w:rsidRPr="00782C60">
              <w:rPr>
                <w:rFonts w:ascii="Arial" w:hAnsi="Arial"/>
                <w:sz w:val="20"/>
              </w:rPr>
              <w:t>6</w:t>
            </w:r>
          </w:p>
        </w:tc>
      </w:tr>
      <w:tr w:rsidR="00EF5DDC" w:rsidRPr="00782C60" w14:paraId="01CB75FF" w14:textId="77777777" w:rsidTr="00065AC4">
        <w:trPr>
          <w:cantSplit/>
          <w:trHeight w:val="300"/>
        </w:trPr>
        <w:tc>
          <w:tcPr>
            <w:tcW w:w="1547" w:type="dxa"/>
            <w:noWrap/>
            <w:tcMar>
              <w:top w:w="0" w:type="dxa"/>
              <w:left w:w="108" w:type="dxa"/>
              <w:bottom w:w="0" w:type="dxa"/>
              <w:right w:w="108" w:type="dxa"/>
            </w:tcMar>
            <w:vAlign w:val="center"/>
          </w:tcPr>
          <w:p w14:paraId="0C70D5FF" w14:textId="77777777" w:rsidR="00EF5DDC" w:rsidRPr="00782C60" w:rsidRDefault="00EF5DDC" w:rsidP="00065AC4">
            <w:pPr>
              <w:keepNext/>
              <w:spacing w:before="120" w:after="120"/>
              <w:jc w:val="center"/>
              <w:rPr>
                <w:rFonts w:ascii="Arial" w:hAnsi="Arial" w:cs="Arial"/>
                <w:b/>
                <w:sz w:val="20"/>
                <w:szCs w:val="20"/>
              </w:rPr>
            </w:pPr>
            <w:r w:rsidRPr="00782C60">
              <w:rPr>
                <w:rFonts w:ascii="Arial" w:hAnsi="Arial"/>
                <w:b/>
                <w:sz w:val="20"/>
              </w:rPr>
              <w:t>V(b)</w:t>
            </w:r>
          </w:p>
        </w:tc>
        <w:tc>
          <w:tcPr>
            <w:tcW w:w="1547" w:type="dxa"/>
            <w:noWrap/>
            <w:tcMar>
              <w:top w:w="0" w:type="dxa"/>
              <w:left w:w="108" w:type="dxa"/>
              <w:bottom w:w="0" w:type="dxa"/>
              <w:right w:w="108" w:type="dxa"/>
            </w:tcMar>
            <w:vAlign w:val="center"/>
          </w:tcPr>
          <w:p w14:paraId="5FCE5DEB"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18</w:t>
            </w:r>
          </w:p>
        </w:tc>
        <w:tc>
          <w:tcPr>
            <w:tcW w:w="1547" w:type="dxa"/>
            <w:noWrap/>
            <w:tcMar>
              <w:top w:w="0" w:type="dxa"/>
              <w:left w:w="108" w:type="dxa"/>
              <w:bottom w:w="0" w:type="dxa"/>
              <w:right w:w="108" w:type="dxa"/>
            </w:tcMar>
            <w:vAlign w:val="center"/>
          </w:tcPr>
          <w:p w14:paraId="0AF5E8C0" w14:textId="2147A283"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10,00 %</w:t>
            </w:r>
          </w:p>
        </w:tc>
        <w:tc>
          <w:tcPr>
            <w:tcW w:w="1547" w:type="dxa"/>
            <w:noWrap/>
            <w:tcMar>
              <w:top w:w="0" w:type="dxa"/>
              <w:left w:w="108" w:type="dxa"/>
              <w:bottom w:w="0" w:type="dxa"/>
              <w:right w:w="108" w:type="dxa"/>
            </w:tcMar>
            <w:vAlign w:val="center"/>
          </w:tcPr>
          <w:p w14:paraId="16EEC234" w14:textId="286C0100" w:rsidR="00EF5DDC" w:rsidRPr="00782C60" w:rsidRDefault="00EF5DDC" w:rsidP="00065AC4">
            <w:pPr>
              <w:jc w:val="center"/>
              <w:rPr>
                <w:rFonts w:ascii="Arial" w:hAnsi="Arial" w:cs="Arial"/>
                <w:color w:val="000000"/>
                <w:sz w:val="20"/>
                <w:szCs w:val="20"/>
              </w:rPr>
            </w:pPr>
            <w:r w:rsidRPr="00782C60">
              <w:rPr>
                <w:rFonts w:ascii="Arial" w:hAnsi="Arial"/>
                <w:color w:val="000000"/>
                <w:sz w:val="20"/>
              </w:rPr>
              <w:t>2,40</w:t>
            </w:r>
          </w:p>
        </w:tc>
        <w:tc>
          <w:tcPr>
            <w:tcW w:w="1548" w:type="dxa"/>
            <w:vAlign w:val="center"/>
          </w:tcPr>
          <w:p w14:paraId="609CFE0F" w14:textId="77777777" w:rsidR="00EF5DDC" w:rsidRPr="00782C60" w:rsidRDefault="00EF5DDC" w:rsidP="00065AC4">
            <w:pPr>
              <w:keepNext/>
              <w:spacing w:before="120" w:after="120"/>
              <w:jc w:val="center"/>
              <w:rPr>
                <w:rFonts w:ascii="Arial" w:hAnsi="Arial" w:cs="Arial"/>
                <w:sz w:val="20"/>
                <w:szCs w:val="20"/>
              </w:rPr>
            </w:pPr>
            <w:r w:rsidRPr="00782C60">
              <w:rPr>
                <w:rFonts w:ascii="Arial" w:hAnsi="Arial"/>
                <w:sz w:val="20"/>
              </w:rPr>
              <w:t>3</w:t>
            </w:r>
          </w:p>
        </w:tc>
      </w:tr>
      <w:tr w:rsidR="00EF5DDC" w:rsidRPr="00782C60" w14:paraId="2333CD9E" w14:textId="77777777" w:rsidTr="00CD569C">
        <w:trPr>
          <w:cantSplit/>
          <w:trHeight w:val="354"/>
        </w:trPr>
        <w:tc>
          <w:tcPr>
            <w:tcW w:w="1547" w:type="dxa"/>
            <w:noWrap/>
            <w:tcMar>
              <w:top w:w="0" w:type="dxa"/>
              <w:left w:w="108" w:type="dxa"/>
              <w:bottom w:w="0" w:type="dxa"/>
              <w:right w:w="108" w:type="dxa"/>
            </w:tcMar>
            <w:vAlign w:val="center"/>
          </w:tcPr>
          <w:p w14:paraId="757A645E" w14:textId="77777777" w:rsidR="00EF5DDC" w:rsidRPr="00782C60" w:rsidRDefault="00EF5DDC" w:rsidP="00065AC4">
            <w:pPr>
              <w:spacing w:before="120" w:after="120"/>
              <w:jc w:val="center"/>
              <w:rPr>
                <w:rFonts w:ascii="Arial" w:hAnsi="Arial" w:cs="Arial"/>
                <w:b/>
                <w:sz w:val="20"/>
                <w:szCs w:val="20"/>
              </w:rPr>
            </w:pPr>
            <w:r w:rsidRPr="00782C60">
              <w:rPr>
                <w:rFonts w:ascii="Arial" w:hAnsi="Arial"/>
                <w:b/>
                <w:sz w:val="20"/>
              </w:rPr>
              <w:t>Total</w:t>
            </w:r>
          </w:p>
        </w:tc>
        <w:tc>
          <w:tcPr>
            <w:tcW w:w="1547" w:type="dxa"/>
            <w:noWrap/>
            <w:tcMar>
              <w:top w:w="0" w:type="dxa"/>
              <w:left w:w="108" w:type="dxa"/>
              <w:bottom w:w="0" w:type="dxa"/>
              <w:right w:w="108" w:type="dxa"/>
            </w:tcMar>
            <w:vAlign w:val="center"/>
          </w:tcPr>
          <w:p w14:paraId="736954D9" w14:textId="2DAB666F" w:rsidR="00EF5DDC" w:rsidRPr="00782C60" w:rsidRDefault="00EF5DDC" w:rsidP="00065AC4">
            <w:pPr>
              <w:spacing w:before="120" w:after="120"/>
              <w:jc w:val="center"/>
              <w:rPr>
                <w:rFonts w:ascii="Arial" w:hAnsi="Arial" w:cs="Arial"/>
                <w:b/>
                <w:sz w:val="20"/>
                <w:szCs w:val="20"/>
              </w:rPr>
            </w:pPr>
            <w:r w:rsidRPr="00782C60">
              <w:rPr>
                <w:rFonts w:ascii="Arial" w:hAnsi="Arial"/>
                <w:b/>
                <w:sz w:val="20"/>
              </w:rPr>
              <w:t>180</w:t>
            </w:r>
          </w:p>
        </w:tc>
        <w:tc>
          <w:tcPr>
            <w:tcW w:w="1547" w:type="dxa"/>
            <w:noWrap/>
            <w:tcMar>
              <w:top w:w="0" w:type="dxa"/>
              <w:left w:w="108" w:type="dxa"/>
              <w:bottom w:w="0" w:type="dxa"/>
              <w:right w:w="108" w:type="dxa"/>
            </w:tcMar>
            <w:vAlign w:val="center"/>
          </w:tcPr>
          <w:p w14:paraId="2AE8EC90" w14:textId="77777777" w:rsidR="00EF5DDC" w:rsidRPr="00782C60" w:rsidRDefault="00EF5DDC" w:rsidP="00065AC4">
            <w:pPr>
              <w:spacing w:before="120" w:after="120"/>
              <w:jc w:val="center"/>
              <w:rPr>
                <w:rFonts w:ascii="Arial" w:hAnsi="Arial" w:cs="Arial"/>
                <w:b/>
                <w:sz w:val="20"/>
                <w:szCs w:val="20"/>
              </w:rPr>
            </w:pPr>
            <w:r w:rsidRPr="00782C60">
              <w:rPr>
                <w:rFonts w:ascii="Arial" w:hAnsi="Arial"/>
                <w:b/>
                <w:sz w:val="20"/>
              </w:rPr>
              <w:t>100,00 %</w:t>
            </w:r>
          </w:p>
        </w:tc>
        <w:tc>
          <w:tcPr>
            <w:tcW w:w="1547" w:type="dxa"/>
            <w:noWrap/>
            <w:tcMar>
              <w:top w:w="0" w:type="dxa"/>
              <w:left w:w="108" w:type="dxa"/>
              <w:bottom w:w="0" w:type="dxa"/>
              <w:right w:w="108" w:type="dxa"/>
            </w:tcMar>
            <w:vAlign w:val="center"/>
          </w:tcPr>
          <w:p w14:paraId="44C82129" w14:textId="77777777" w:rsidR="00EF5DDC" w:rsidRPr="00782C60" w:rsidRDefault="00EF5DDC" w:rsidP="00065AC4">
            <w:pPr>
              <w:tabs>
                <w:tab w:val="left" w:pos="1050"/>
              </w:tabs>
              <w:spacing w:before="120" w:after="120"/>
              <w:jc w:val="center"/>
              <w:rPr>
                <w:rFonts w:ascii="Arial" w:hAnsi="Arial" w:cs="Arial"/>
                <w:b/>
                <w:sz w:val="20"/>
                <w:szCs w:val="20"/>
              </w:rPr>
            </w:pPr>
            <w:r w:rsidRPr="00782C60">
              <w:rPr>
                <w:rFonts w:ascii="Arial" w:hAnsi="Arial"/>
                <w:b/>
                <w:sz w:val="20"/>
              </w:rPr>
              <w:t>24</w:t>
            </w:r>
          </w:p>
        </w:tc>
        <w:tc>
          <w:tcPr>
            <w:tcW w:w="1548" w:type="dxa"/>
            <w:vAlign w:val="center"/>
          </w:tcPr>
          <w:p w14:paraId="4CACFB5C" w14:textId="77777777" w:rsidR="00EF5DDC" w:rsidRPr="00782C60" w:rsidRDefault="00EF5DDC" w:rsidP="00065AC4">
            <w:pPr>
              <w:spacing w:before="120" w:after="120"/>
              <w:jc w:val="center"/>
              <w:rPr>
                <w:rFonts w:ascii="Arial" w:hAnsi="Arial" w:cs="Arial"/>
                <w:b/>
                <w:sz w:val="20"/>
                <w:szCs w:val="20"/>
              </w:rPr>
            </w:pPr>
            <w:r w:rsidRPr="00782C60">
              <w:rPr>
                <w:rFonts w:ascii="Arial" w:hAnsi="Arial"/>
                <w:b/>
                <w:sz w:val="20"/>
              </w:rPr>
              <w:t>24</w:t>
            </w:r>
          </w:p>
        </w:tc>
      </w:tr>
    </w:tbl>
    <w:p w14:paraId="790B939E" w14:textId="77777777" w:rsidR="00C42C66" w:rsidRPr="00782C60" w:rsidRDefault="00C42C66" w:rsidP="00CD569C">
      <w:pPr>
        <w:pStyle w:val="GAPara"/>
        <w:numPr>
          <w:ilvl w:val="0"/>
          <w:numId w:val="0"/>
        </w:numPr>
        <w:jc w:val="both"/>
      </w:pPr>
    </w:p>
    <w:p w14:paraId="4C2B0AB6" w14:textId="77777777" w:rsidR="008A1ED4" w:rsidRPr="00782C60" w:rsidRDefault="008A1ED4" w:rsidP="008A1ED4">
      <w:pPr>
        <w:keepNext/>
        <w:numPr>
          <w:ilvl w:val="0"/>
          <w:numId w:val="19"/>
        </w:numPr>
        <w:ind w:left="567" w:hanging="567"/>
        <w:jc w:val="both"/>
        <w:rPr>
          <w:rFonts w:ascii="Arial" w:eastAsia="SimSun" w:hAnsi="Arial" w:cs="Arial"/>
          <w:sz w:val="22"/>
          <w:szCs w:val="22"/>
        </w:rPr>
      </w:pPr>
      <w:r w:rsidRPr="00782C60">
        <w:rPr>
          <w:rFonts w:ascii="Arial" w:hAnsi="Arial"/>
          <w:sz w:val="22"/>
        </w:rPr>
        <w:t>La Asamblea General podría aprobar la siguiente resolución:</w:t>
      </w:r>
    </w:p>
    <w:p w14:paraId="2A46BAC4" w14:textId="4E27C385" w:rsidR="008A1ED4" w:rsidRPr="00782C60" w:rsidRDefault="00F010E0" w:rsidP="008A1ED4">
      <w:pPr>
        <w:pStyle w:val="GATitleResolution"/>
      </w:pPr>
      <w:r w:rsidRPr="00782C60">
        <w:t>PROYECTO DE RESOLUCIÓN 9.GA 4</w:t>
      </w:r>
    </w:p>
    <w:p w14:paraId="7677B217" w14:textId="77777777" w:rsidR="008A1ED4" w:rsidRPr="00782C60" w:rsidRDefault="008A1ED4" w:rsidP="008A1ED4">
      <w:pPr>
        <w:pStyle w:val="GAPreambulaResolution"/>
        <w:rPr>
          <w:rFonts w:eastAsia="SimSun"/>
        </w:rPr>
      </w:pPr>
      <w:r w:rsidRPr="00782C60">
        <w:t>La Asamblea General,</w:t>
      </w:r>
    </w:p>
    <w:p w14:paraId="68F801BB" w14:textId="08817737" w:rsidR="008A1ED4" w:rsidRPr="00782C60" w:rsidRDefault="008A1ED4" w:rsidP="008A1ED4">
      <w:pPr>
        <w:pStyle w:val="COMParaDecision"/>
        <w:numPr>
          <w:ilvl w:val="0"/>
          <w:numId w:val="10"/>
        </w:numPr>
        <w:ind w:left="1134" w:hanging="567"/>
        <w:jc w:val="left"/>
      </w:pPr>
      <w:r w:rsidRPr="00782C60">
        <w:t>Habiendo examinado</w:t>
      </w:r>
      <w:r w:rsidRPr="00782C60">
        <w:rPr>
          <w:u w:val="none"/>
        </w:rPr>
        <w:t xml:space="preserve"> el documento LHE/22/9.GA/4,</w:t>
      </w:r>
    </w:p>
    <w:p w14:paraId="0D675A00" w14:textId="151C4E6B" w:rsidR="008A1ED4" w:rsidRPr="00782C60" w:rsidRDefault="008A1ED4" w:rsidP="008A1ED4">
      <w:pPr>
        <w:pStyle w:val="COMParaDecision"/>
        <w:numPr>
          <w:ilvl w:val="0"/>
          <w:numId w:val="10"/>
        </w:numPr>
        <w:ind w:left="1134" w:hanging="567"/>
        <w:jc w:val="left"/>
      </w:pPr>
      <w:r w:rsidRPr="00782C60">
        <w:t>Recordando</w:t>
      </w:r>
      <w:r w:rsidRPr="00782C60">
        <w:rPr>
          <w:u w:val="none"/>
        </w:rPr>
        <w:t xml:space="preserve"> el Artículo 6 de la Convención,</w:t>
      </w:r>
    </w:p>
    <w:p w14:paraId="50F4572A" w14:textId="54653EF8" w:rsidR="008A1ED4" w:rsidRPr="00782C60" w:rsidRDefault="008A1ED4" w:rsidP="008A1ED4">
      <w:pPr>
        <w:pStyle w:val="COMParaDecision"/>
        <w:numPr>
          <w:ilvl w:val="0"/>
          <w:numId w:val="10"/>
        </w:numPr>
        <w:ind w:left="1134" w:hanging="567"/>
        <w:jc w:val="left"/>
      </w:pPr>
      <w:r w:rsidRPr="00782C60">
        <w:t>Recordando también</w:t>
      </w:r>
      <w:r w:rsidRPr="00782C60">
        <w:rPr>
          <w:u w:val="none"/>
        </w:rPr>
        <w:t xml:space="preserve"> el Artículo 13 de su Reglamento y la </w:t>
      </w:r>
      <w:hyperlink r:id="rId10" w:history="1">
        <w:r w:rsidRPr="00782C60">
          <w:rPr>
            <w:rStyle w:val="Lienhypertexte"/>
          </w:rPr>
          <w:t>Resolución</w:t>
        </w:r>
        <w:r w:rsidR="00860DE5" w:rsidRPr="00782C60">
          <w:rPr>
            <w:rStyle w:val="Lienhypertexte"/>
          </w:rPr>
          <w:t> </w:t>
        </w:r>
        <w:r w:rsidRPr="00782C60">
          <w:rPr>
            <w:rStyle w:val="Lienhypertexte"/>
          </w:rPr>
          <w:t>3.GA 12</w:t>
        </w:r>
      </w:hyperlink>
      <w:r w:rsidRPr="00782C60">
        <w:rPr>
          <w:u w:val="none"/>
        </w:rPr>
        <w:t>,</w:t>
      </w:r>
    </w:p>
    <w:p w14:paraId="045568BD" w14:textId="316F10D3" w:rsidR="008A1ED4" w:rsidRPr="00782C60" w:rsidRDefault="008A1ED4" w:rsidP="005A6291">
      <w:pPr>
        <w:pStyle w:val="COMParaDecision"/>
        <w:numPr>
          <w:ilvl w:val="0"/>
          <w:numId w:val="10"/>
        </w:numPr>
        <w:ind w:left="1134" w:hanging="567"/>
        <w:rPr>
          <w:u w:val="none"/>
        </w:rPr>
      </w:pPr>
      <w:r w:rsidRPr="00782C60">
        <w:t>Decide</w:t>
      </w:r>
      <w:r w:rsidRPr="00782C60">
        <w:rPr>
          <w:u w:val="none"/>
        </w:rPr>
        <w:t xml:space="preserve"> que, para la elección en su novena reunión, los </w:t>
      </w:r>
      <w:r w:rsidR="0057438F">
        <w:rPr>
          <w:u w:val="none"/>
        </w:rPr>
        <w:t>veint</w:t>
      </w:r>
      <w:r w:rsidR="00B63B13">
        <w:rPr>
          <w:u w:val="none"/>
        </w:rPr>
        <w:t>icuatro</w:t>
      </w:r>
      <w:r w:rsidR="0057438F" w:rsidRPr="00782C60">
        <w:rPr>
          <w:u w:val="none"/>
        </w:rPr>
        <w:t xml:space="preserve"> </w:t>
      </w:r>
      <w:r w:rsidRPr="00782C60">
        <w:rPr>
          <w:u w:val="none"/>
        </w:rPr>
        <w:t xml:space="preserve">puestos del Comité se distribuirán entre los grupos electorales de la siguiente manera: Grupo I, </w:t>
      </w:r>
      <w:r w:rsidR="009054CF">
        <w:rPr>
          <w:u w:val="none"/>
        </w:rPr>
        <w:t xml:space="preserve">tres </w:t>
      </w:r>
      <w:r w:rsidRPr="00782C60">
        <w:rPr>
          <w:u w:val="none"/>
        </w:rPr>
        <w:t xml:space="preserve">puestos; Grupo II, </w:t>
      </w:r>
      <w:r w:rsidR="009054CF">
        <w:rPr>
          <w:u w:val="none"/>
        </w:rPr>
        <w:t xml:space="preserve">tres </w:t>
      </w:r>
      <w:r w:rsidRPr="00782C60">
        <w:rPr>
          <w:u w:val="none"/>
        </w:rPr>
        <w:t xml:space="preserve">puestos; Grupo III, </w:t>
      </w:r>
      <w:r w:rsidR="009054CF">
        <w:rPr>
          <w:u w:val="none"/>
        </w:rPr>
        <w:t>cuatro</w:t>
      </w:r>
      <w:r w:rsidR="009054CF" w:rsidRPr="00782C60">
        <w:rPr>
          <w:u w:val="none"/>
        </w:rPr>
        <w:t xml:space="preserve"> </w:t>
      </w:r>
      <w:r w:rsidRPr="00782C60">
        <w:rPr>
          <w:u w:val="none"/>
        </w:rPr>
        <w:t xml:space="preserve">puestos; Grupo IV, </w:t>
      </w:r>
      <w:r w:rsidR="009054CF">
        <w:rPr>
          <w:u w:val="none"/>
        </w:rPr>
        <w:t>cinco</w:t>
      </w:r>
      <w:r w:rsidR="009054CF" w:rsidRPr="00782C60">
        <w:rPr>
          <w:u w:val="none"/>
        </w:rPr>
        <w:t xml:space="preserve"> </w:t>
      </w:r>
      <w:r w:rsidRPr="00782C60">
        <w:rPr>
          <w:u w:val="none"/>
        </w:rPr>
        <w:t xml:space="preserve">puestos; Grupo V(a), </w:t>
      </w:r>
      <w:r w:rsidR="009054CF">
        <w:rPr>
          <w:u w:val="none"/>
        </w:rPr>
        <w:t>seis</w:t>
      </w:r>
      <w:r w:rsidR="009054CF" w:rsidRPr="00782C60">
        <w:rPr>
          <w:u w:val="none"/>
        </w:rPr>
        <w:t xml:space="preserve"> </w:t>
      </w:r>
      <w:r w:rsidRPr="00782C60">
        <w:rPr>
          <w:u w:val="none"/>
        </w:rPr>
        <w:t xml:space="preserve">puestos; Grupo V(b), </w:t>
      </w:r>
      <w:r w:rsidR="009054CF">
        <w:rPr>
          <w:u w:val="none"/>
        </w:rPr>
        <w:t>tres</w:t>
      </w:r>
      <w:r w:rsidR="009054CF" w:rsidRPr="00782C60">
        <w:rPr>
          <w:u w:val="none"/>
        </w:rPr>
        <w:t xml:space="preserve"> </w:t>
      </w:r>
      <w:r w:rsidRPr="00782C60">
        <w:rPr>
          <w:u w:val="none"/>
        </w:rPr>
        <w:t>puestos.</w:t>
      </w:r>
    </w:p>
    <w:sectPr w:rsidR="008A1ED4" w:rsidRPr="00782C60" w:rsidSect="00176720">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9129" w14:textId="77777777" w:rsidR="00CD09D0" w:rsidRDefault="00CD09D0" w:rsidP="00655736">
      <w:r>
        <w:separator/>
      </w:r>
    </w:p>
  </w:endnote>
  <w:endnote w:type="continuationSeparator" w:id="0">
    <w:p w14:paraId="2A3265B2" w14:textId="77777777" w:rsidR="00CD09D0" w:rsidRDefault="00CD09D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83FA" w14:textId="77777777" w:rsidR="00CD09D0" w:rsidRDefault="00CD09D0" w:rsidP="00655736">
      <w:r>
        <w:separator/>
      </w:r>
    </w:p>
  </w:footnote>
  <w:footnote w:type="continuationSeparator" w:id="0">
    <w:p w14:paraId="1B9D5FD9" w14:textId="77777777" w:rsidR="00CD09D0" w:rsidRDefault="00CD09D0"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5B09BE82" w:rsidR="00D95C4C" w:rsidRPr="00C23A97" w:rsidRDefault="006F41B4">
    <w:pPr>
      <w:pStyle w:val="En-tte"/>
      <w:rPr>
        <w:rFonts w:ascii="Arial" w:hAnsi="Arial" w:cs="Arial"/>
      </w:rPr>
    </w:pPr>
    <w:r>
      <w:rPr>
        <w:rFonts w:ascii="Arial" w:hAnsi="Arial"/>
        <w:sz w:val="20"/>
      </w:rPr>
      <w:t xml:space="preserve">LHE/22/9.GA/4 – página </w:t>
    </w:r>
    <w:r w:rsidR="00D95C4C" w:rsidRPr="00C23A97">
      <w:rPr>
        <w:rStyle w:val="Numrodepage"/>
        <w:rFonts w:ascii="Arial" w:hAnsi="Arial" w:cs="Arial"/>
        <w:sz w:val="20"/>
        <w:szCs w:val="20"/>
      </w:rPr>
      <w:fldChar w:fldCharType="begin"/>
    </w:r>
    <w:r w:rsidR="00D95C4C" w:rsidRPr="00C23A97">
      <w:rPr>
        <w:rStyle w:val="Numrodepage"/>
        <w:rFonts w:ascii="Arial" w:hAnsi="Arial" w:cs="Arial"/>
        <w:sz w:val="20"/>
        <w:szCs w:val="20"/>
      </w:rPr>
      <w:instrText xml:space="preserve"> PAGE </w:instrText>
    </w:r>
    <w:r w:rsidR="00D95C4C" w:rsidRPr="00C23A97">
      <w:rPr>
        <w:rStyle w:val="Numrodepage"/>
        <w:rFonts w:ascii="Arial" w:hAnsi="Arial" w:cs="Arial"/>
        <w:sz w:val="20"/>
        <w:szCs w:val="20"/>
      </w:rPr>
      <w:fldChar w:fldCharType="separate"/>
    </w:r>
    <w:r w:rsidR="00F010E0">
      <w:rPr>
        <w:rStyle w:val="Numrodepage"/>
        <w:rFonts w:ascii="Arial" w:hAnsi="Arial" w:cs="Arial"/>
        <w:sz w:val="20"/>
        <w:szCs w:val="20"/>
      </w:rPr>
      <w:t>2</w:t>
    </w:r>
    <w:r w:rsidR="00D95C4C" w:rsidRPr="00C23A97">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20A1C370" w:rsidR="00D95C4C" w:rsidRPr="0063300C" w:rsidRDefault="00502D44" w:rsidP="0063300C">
    <w:pPr>
      <w:pStyle w:val="En-tte"/>
      <w:jc w:val="right"/>
      <w:rPr>
        <w:rFonts w:ascii="Arial" w:hAnsi="Arial" w:cs="Arial"/>
      </w:rPr>
    </w:pPr>
    <w:r>
      <w:rPr>
        <w:rFonts w:ascii="Arial" w:hAnsi="Arial"/>
        <w:sz w:val="20"/>
      </w:rPr>
      <w:t xml:space="preserve">LHE/22/9.GA/4 – página </w:t>
    </w:r>
    <w:r w:rsidR="004A34A0" w:rsidRPr="0063300C">
      <w:rPr>
        <w:rStyle w:val="Numrodepage"/>
        <w:rFonts w:ascii="Arial" w:hAnsi="Arial" w:cs="Arial"/>
        <w:sz w:val="20"/>
        <w:szCs w:val="20"/>
      </w:rPr>
      <w:fldChar w:fldCharType="begin"/>
    </w:r>
    <w:r w:rsidR="004A34A0" w:rsidRPr="0063300C">
      <w:rPr>
        <w:rStyle w:val="Numrodepage"/>
        <w:rFonts w:ascii="Arial" w:hAnsi="Arial" w:cs="Arial"/>
        <w:sz w:val="20"/>
        <w:szCs w:val="20"/>
      </w:rPr>
      <w:instrText xml:space="preserve"> PAGE </w:instrText>
    </w:r>
    <w:r w:rsidR="004A34A0" w:rsidRPr="0063300C">
      <w:rPr>
        <w:rStyle w:val="Numrodepage"/>
        <w:rFonts w:ascii="Arial" w:hAnsi="Arial" w:cs="Arial"/>
        <w:sz w:val="20"/>
        <w:szCs w:val="20"/>
      </w:rPr>
      <w:fldChar w:fldCharType="separate"/>
    </w:r>
    <w:r w:rsidR="008A1ED4">
      <w:rPr>
        <w:rStyle w:val="Numrodepage"/>
        <w:rFonts w:ascii="Arial" w:hAnsi="Arial" w:cs="Arial"/>
        <w:sz w:val="20"/>
        <w:szCs w:val="20"/>
      </w:rPr>
      <w:t>3</w:t>
    </w:r>
    <w:r w:rsidR="004A34A0" w:rsidRPr="0063300C">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52543C89" w:rsidR="00D95C4C" w:rsidRPr="008724E5" w:rsidRDefault="00C2311A">
    <w:pPr>
      <w:pStyle w:val="En-tte"/>
    </w:pPr>
    <w:r>
      <w:rPr>
        <w:noProof/>
      </w:rPr>
      <w:drawing>
        <wp:anchor distT="0" distB="0" distL="114300" distR="114300" simplePos="0" relativeHeight="251659264" behindDoc="0" locked="0" layoutInCell="1" allowOverlap="1" wp14:anchorId="04A32E83" wp14:editId="3440913F">
          <wp:simplePos x="0" y="0"/>
          <wp:positionH relativeFrom="column">
            <wp:posOffset>47625</wp:posOffset>
          </wp:positionH>
          <wp:positionV relativeFrom="paragraph">
            <wp:posOffset>38100</wp:posOffset>
          </wp:positionV>
          <wp:extent cx="1710000" cy="1440000"/>
          <wp:effectExtent l="0" t="0" r="508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233C0" w14:textId="0080C653" w:rsidR="00D95C4C" w:rsidRPr="00DE4430" w:rsidRDefault="003265D0" w:rsidP="00655736">
    <w:pPr>
      <w:pStyle w:val="En-tte"/>
      <w:spacing w:after="520"/>
      <w:jc w:val="right"/>
      <w:rPr>
        <w:rFonts w:ascii="Arial" w:hAnsi="Arial" w:cs="Arial"/>
        <w:b/>
        <w:sz w:val="44"/>
        <w:szCs w:val="44"/>
        <w:lang w:val="pt-PT"/>
      </w:rPr>
    </w:pPr>
    <w:r w:rsidRPr="00DE4430">
      <w:rPr>
        <w:rFonts w:ascii="Arial" w:hAnsi="Arial"/>
        <w:b/>
        <w:sz w:val="44"/>
        <w:lang w:val="pt-PT"/>
      </w:rPr>
      <w:t>9 GA</w:t>
    </w:r>
  </w:p>
  <w:p w14:paraId="2037F6C9" w14:textId="0EF08092" w:rsidR="00D95C4C" w:rsidRPr="00DE4430" w:rsidRDefault="006F41B4" w:rsidP="00655736">
    <w:pPr>
      <w:jc w:val="right"/>
      <w:rPr>
        <w:rFonts w:ascii="Arial" w:hAnsi="Arial" w:cs="Arial"/>
        <w:b/>
        <w:sz w:val="22"/>
        <w:szCs w:val="22"/>
        <w:lang w:val="pt-PT"/>
      </w:rPr>
    </w:pPr>
    <w:r w:rsidRPr="00DE4430">
      <w:rPr>
        <w:rFonts w:ascii="Arial" w:hAnsi="Arial"/>
        <w:b/>
        <w:sz w:val="22"/>
        <w:lang w:val="pt-PT"/>
      </w:rPr>
      <w:t>LHE/22/9.GA/4</w:t>
    </w:r>
  </w:p>
  <w:p w14:paraId="1E03530A" w14:textId="45AA93FC" w:rsidR="00D95C4C" w:rsidRPr="00DE4430" w:rsidRDefault="00D95C4C" w:rsidP="00655736">
    <w:pPr>
      <w:jc w:val="right"/>
      <w:rPr>
        <w:rFonts w:ascii="Arial" w:hAnsi="Arial" w:cs="Arial"/>
        <w:b/>
        <w:sz w:val="22"/>
        <w:szCs w:val="22"/>
        <w:lang w:val="pt-PT"/>
      </w:rPr>
    </w:pPr>
    <w:r w:rsidRPr="00DE4430">
      <w:rPr>
        <w:rFonts w:ascii="Arial" w:hAnsi="Arial"/>
        <w:b/>
        <w:sz w:val="22"/>
        <w:lang w:val="pt-PT"/>
      </w:rPr>
      <w:t xml:space="preserve">París, </w:t>
    </w:r>
    <w:r w:rsidR="0006787C">
      <w:rPr>
        <w:rFonts w:ascii="Arial" w:hAnsi="Arial"/>
        <w:b/>
        <w:sz w:val="22"/>
        <w:lang w:val="pt-PT"/>
      </w:rPr>
      <w:t>3 de junio</w:t>
    </w:r>
    <w:r w:rsidRPr="00DE4430">
      <w:rPr>
        <w:rFonts w:ascii="Arial" w:hAnsi="Arial"/>
        <w:b/>
        <w:sz w:val="22"/>
        <w:lang w:val="pt-PT"/>
      </w:rPr>
      <w:t xml:space="preserve"> de 2022</w:t>
    </w:r>
  </w:p>
  <w:p w14:paraId="00956E32" w14:textId="780766D8" w:rsidR="00D95C4C" w:rsidRDefault="00D95C4C" w:rsidP="00703FBF">
    <w:pPr>
      <w:jc w:val="right"/>
      <w:rPr>
        <w:rFonts w:ascii="Arial" w:hAnsi="Arial" w:cs="Arial"/>
        <w:b/>
        <w:sz w:val="22"/>
        <w:szCs w:val="22"/>
      </w:rPr>
    </w:pPr>
    <w:r>
      <w:rPr>
        <w:rFonts w:ascii="Arial" w:hAnsi="Arial"/>
        <w:b/>
        <w:sz w:val="22"/>
      </w:rPr>
      <w:t xml:space="preserve">Original: </w:t>
    </w:r>
    <w:r w:rsidR="00782C60">
      <w:rPr>
        <w:rFonts w:ascii="Arial" w:hAnsi="Arial"/>
        <w:b/>
        <w:sz w:val="22"/>
      </w:rPr>
      <w:t>i</w:t>
    </w:r>
    <w:r>
      <w:rPr>
        <w:rFonts w:ascii="Arial" w:hAnsi="Arial"/>
        <w:b/>
        <w:sz w:val="22"/>
      </w:rPr>
      <w:t>nglés</w:t>
    </w:r>
  </w:p>
  <w:p w14:paraId="7FB1132E" w14:textId="77777777" w:rsidR="00540FE0" w:rsidRPr="00035133" w:rsidRDefault="00540FE0" w:rsidP="0054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5"/>
  </w:num>
  <w:num w:numId="5">
    <w:abstractNumId w:val="13"/>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4"/>
  </w:num>
  <w:num w:numId="14">
    <w:abstractNumId w:val="10"/>
  </w:num>
  <w:num w:numId="15">
    <w:abstractNumId w:val="11"/>
  </w:num>
  <w:num w:numId="16">
    <w:abstractNumId w:val="6"/>
  </w:num>
  <w:num w:numId="17">
    <w:abstractNumId w:val="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35133"/>
    <w:rsid w:val="00041A66"/>
    <w:rsid w:val="0005176E"/>
    <w:rsid w:val="0006787C"/>
    <w:rsid w:val="000765F7"/>
    <w:rsid w:val="00077AB7"/>
    <w:rsid w:val="00081CD8"/>
    <w:rsid w:val="000A7F0E"/>
    <w:rsid w:val="000B65D4"/>
    <w:rsid w:val="000C0D61"/>
    <w:rsid w:val="000E5418"/>
    <w:rsid w:val="000F3A3F"/>
    <w:rsid w:val="000F5A4A"/>
    <w:rsid w:val="00102557"/>
    <w:rsid w:val="00154535"/>
    <w:rsid w:val="00164D56"/>
    <w:rsid w:val="00167B10"/>
    <w:rsid w:val="0017402F"/>
    <w:rsid w:val="00176720"/>
    <w:rsid w:val="00186FC8"/>
    <w:rsid w:val="00191ADC"/>
    <w:rsid w:val="00196C1B"/>
    <w:rsid w:val="001A134F"/>
    <w:rsid w:val="001B0F73"/>
    <w:rsid w:val="001D5C04"/>
    <w:rsid w:val="00222A2D"/>
    <w:rsid w:val="00223029"/>
    <w:rsid w:val="00234745"/>
    <w:rsid w:val="002407AF"/>
    <w:rsid w:val="002A1045"/>
    <w:rsid w:val="002C09E3"/>
    <w:rsid w:val="002F312A"/>
    <w:rsid w:val="00310B5C"/>
    <w:rsid w:val="003265D0"/>
    <w:rsid w:val="00345CB4"/>
    <w:rsid w:val="003549B8"/>
    <w:rsid w:val="0037077B"/>
    <w:rsid w:val="0039105D"/>
    <w:rsid w:val="003C5C35"/>
    <w:rsid w:val="003D069C"/>
    <w:rsid w:val="003D7646"/>
    <w:rsid w:val="003F113A"/>
    <w:rsid w:val="00414643"/>
    <w:rsid w:val="004421E5"/>
    <w:rsid w:val="00452284"/>
    <w:rsid w:val="00466E02"/>
    <w:rsid w:val="004856CA"/>
    <w:rsid w:val="0049705E"/>
    <w:rsid w:val="004A34A0"/>
    <w:rsid w:val="004B0119"/>
    <w:rsid w:val="004D19BE"/>
    <w:rsid w:val="00502D44"/>
    <w:rsid w:val="00526B7B"/>
    <w:rsid w:val="005275EF"/>
    <w:rsid w:val="005308CE"/>
    <w:rsid w:val="00540FE0"/>
    <w:rsid w:val="0057438F"/>
    <w:rsid w:val="0057439C"/>
    <w:rsid w:val="00592362"/>
    <w:rsid w:val="005A6291"/>
    <w:rsid w:val="005B0127"/>
    <w:rsid w:val="005B7A35"/>
    <w:rsid w:val="005C4B73"/>
    <w:rsid w:val="005D71F6"/>
    <w:rsid w:val="005E1D2B"/>
    <w:rsid w:val="00600D93"/>
    <w:rsid w:val="00610326"/>
    <w:rsid w:val="00611E24"/>
    <w:rsid w:val="0063300C"/>
    <w:rsid w:val="00654BA8"/>
    <w:rsid w:val="00655736"/>
    <w:rsid w:val="00663B8D"/>
    <w:rsid w:val="00696C8D"/>
    <w:rsid w:val="006A2AC2"/>
    <w:rsid w:val="006A3617"/>
    <w:rsid w:val="006E06BF"/>
    <w:rsid w:val="006E46E4"/>
    <w:rsid w:val="006F41B4"/>
    <w:rsid w:val="00703FBF"/>
    <w:rsid w:val="00717DA5"/>
    <w:rsid w:val="007269D0"/>
    <w:rsid w:val="00726FFA"/>
    <w:rsid w:val="00742817"/>
    <w:rsid w:val="00744484"/>
    <w:rsid w:val="0075448A"/>
    <w:rsid w:val="00763A0D"/>
    <w:rsid w:val="00773188"/>
    <w:rsid w:val="00782C60"/>
    <w:rsid w:val="00783782"/>
    <w:rsid w:val="00784B8C"/>
    <w:rsid w:val="0079493F"/>
    <w:rsid w:val="007B455F"/>
    <w:rsid w:val="007E0660"/>
    <w:rsid w:val="00805E6B"/>
    <w:rsid w:val="00814098"/>
    <w:rsid w:val="00823A11"/>
    <w:rsid w:val="00852866"/>
    <w:rsid w:val="0085414A"/>
    <w:rsid w:val="00860DE5"/>
    <w:rsid w:val="0086269D"/>
    <w:rsid w:val="0086543A"/>
    <w:rsid w:val="008724E5"/>
    <w:rsid w:val="00884A9D"/>
    <w:rsid w:val="0088512B"/>
    <w:rsid w:val="008948AA"/>
    <w:rsid w:val="008A1ED4"/>
    <w:rsid w:val="008A2B2D"/>
    <w:rsid w:val="008A4E1E"/>
    <w:rsid w:val="008C296C"/>
    <w:rsid w:val="008C568D"/>
    <w:rsid w:val="008D4305"/>
    <w:rsid w:val="008E061B"/>
    <w:rsid w:val="009054CF"/>
    <w:rsid w:val="00910CD8"/>
    <w:rsid w:val="009163A7"/>
    <w:rsid w:val="00946D0B"/>
    <w:rsid w:val="009A18CD"/>
    <w:rsid w:val="009A58A4"/>
    <w:rsid w:val="009B0BE6"/>
    <w:rsid w:val="009E2886"/>
    <w:rsid w:val="009E47CF"/>
    <w:rsid w:val="00A12558"/>
    <w:rsid w:val="00A13903"/>
    <w:rsid w:val="00A34ED5"/>
    <w:rsid w:val="00A45DBF"/>
    <w:rsid w:val="00A504BA"/>
    <w:rsid w:val="00A645DF"/>
    <w:rsid w:val="00A65C29"/>
    <w:rsid w:val="00A755A2"/>
    <w:rsid w:val="00A77AB5"/>
    <w:rsid w:val="00AA6660"/>
    <w:rsid w:val="00AB2C36"/>
    <w:rsid w:val="00AB70B6"/>
    <w:rsid w:val="00AD1A86"/>
    <w:rsid w:val="00AE103E"/>
    <w:rsid w:val="00AF0251"/>
    <w:rsid w:val="00AF0A07"/>
    <w:rsid w:val="00AF4AEC"/>
    <w:rsid w:val="00AF625E"/>
    <w:rsid w:val="00B0365A"/>
    <w:rsid w:val="00B560A9"/>
    <w:rsid w:val="00B63B13"/>
    <w:rsid w:val="00B96B09"/>
    <w:rsid w:val="00BB04AF"/>
    <w:rsid w:val="00BD52C9"/>
    <w:rsid w:val="00BE6354"/>
    <w:rsid w:val="00C2311A"/>
    <w:rsid w:val="00C23A97"/>
    <w:rsid w:val="00C42C66"/>
    <w:rsid w:val="00C70EA7"/>
    <w:rsid w:val="00C7516E"/>
    <w:rsid w:val="00C75770"/>
    <w:rsid w:val="00CA770C"/>
    <w:rsid w:val="00CC1DB1"/>
    <w:rsid w:val="00CD09D0"/>
    <w:rsid w:val="00CD569C"/>
    <w:rsid w:val="00D00B2B"/>
    <w:rsid w:val="00D231E4"/>
    <w:rsid w:val="00D24877"/>
    <w:rsid w:val="00D25762"/>
    <w:rsid w:val="00D54105"/>
    <w:rsid w:val="00D905BB"/>
    <w:rsid w:val="00D95C4C"/>
    <w:rsid w:val="00DA36ED"/>
    <w:rsid w:val="00DB0C57"/>
    <w:rsid w:val="00DE34F1"/>
    <w:rsid w:val="00DE4430"/>
    <w:rsid w:val="00DE47F5"/>
    <w:rsid w:val="00DF4942"/>
    <w:rsid w:val="00E31BC2"/>
    <w:rsid w:val="00E61E59"/>
    <w:rsid w:val="00E627B1"/>
    <w:rsid w:val="00E9376C"/>
    <w:rsid w:val="00E94934"/>
    <w:rsid w:val="00EA335E"/>
    <w:rsid w:val="00EA528C"/>
    <w:rsid w:val="00EE4704"/>
    <w:rsid w:val="00EF19A6"/>
    <w:rsid w:val="00EF34E2"/>
    <w:rsid w:val="00EF4F1F"/>
    <w:rsid w:val="00EF5DDC"/>
    <w:rsid w:val="00EF69E3"/>
    <w:rsid w:val="00F010E0"/>
    <w:rsid w:val="00F06870"/>
    <w:rsid w:val="00F367EE"/>
    <w:rsid w:val="00F46262"/>
    <w:rsid w:val="00F53DE9"/>
    <w:rsid w:val="00F576CB"/>
    <w:rsid w:val="00F6672A"/>
    <w:rsid w:val="00F71A02"/>
    <w:rsid w:val="00FB6630"/>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Paragraphedeliste">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uiPriority w:val="59"/>
    <w:rsid w:val="00191ADC"/>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CA770C"/>
    <w:rPr>
      <w:color w:val="0563C1" w:themeColor="hyperlink"/>
      <w:u w:val="single"/>
    </w:rPr>
  </w:style>
  <w:style w:type="character" w:styleId="Lienhypertextesuivivisit">
    <w:name w:val="FollowedHyperlink"/>
    <w:basedOn w:val="Policepardfaut"/>
    <w:uiPriority w:val="99"/>
    <w:semiHidden/>
    <w:unhideWhenUsed/>
    <w:rsid w:val="00910CD8"/>
    <w:rPr>
      <w:color w:val="954F72" w:themeColor="followedHyperlink"/>
      <w:u w:val="single"/>
    </w:rPr>
  </w:style>
  <w:style w:type="character" w:styleId="Marquedecommentaire">
    <w:name w:val="annotation reference"/>
    <w:basedOn w:val="Policepardfaut"/>
    <w:uiPriority w:val="99"/>
    <w:semiHidden/>
    <w:unhideWhenUsed/>
    <w:rsid w:val="009B0BE6"/>
    <w:rPr>
      <w:sz w:val="16"/>
      <w:szCs w:val="16"/>
    </w:rPr>
  </w:style>
  <w:style w:type="paragraph" w:styleId="Commentaire">
    <w:name w:val="annotation text"/>
    <w:basedOn w:val="Normal"/>
    <w:link w:val="CommentaireCar"/>
    <w:uiPriority w:val="99"/>
    <w:semiHidden/>
    <w:unhideWhenUsed/>
    <w:rsid w:val="009B0BE6"/>
    <w:rPr>
      <w:sz w:val="20"/>
      <w:szCs w:val="20"/>
    </w:rPr>
  </w:style>
  <w:style w:type="character" w:customStyle="1" w:styleId="CommentaireCar">
    <w:name w:val="Commentaire Car"/>
    <w:basedOn w:val="Policepardfaut"/>
    <w:link w:val="Commentaire"/>
    <w:uiPriority w:val="99"/>
    <w:semiHidden/>
    <w:rsid w:val="009B0BE6"/>
    <w:rPr>
      <w:rFonts w:ascii="Times New Roman" w:eastAsia="Times New Roman" w:hAnsi="Times New Roman"/>
      <w:lang w:eastAsia="fr-FR"/>
    </w:rPr>
  </w:style>
  <w:style w:type="paragraph" w:styleId="Objetducommentaire">
    <w:name w:val="annotation subject"/>
    <w:basedOn w:val="Commentaire"/>
    <w:next w:val="Commentaire"/>
    <w:link w:val="ObjetducommentaireCar"/>
    <w:uiPriority w:val="99"/>
    <w:semiHidden/>
    <w:unhideWhenUsed/>
    <w:rsid w:val="009B0BE6"/>
    <w:rPr>
      <w:b/>
      <w:bCs/>
    </w:rPr>
  </w:style>
  <w:style w:type="character" w:customStyle="1" w:styleId="ObjetducommentaireCar">
    <w:name w:val="Objet du commentaire Car"/>
    <w:basedOn w:val="CommentaireCar"/>
    <w:link w:val="Objetducommentaire"/>
    <w:uiPriority w:val="99"/>
    <w:semiHidden/>
    <w:rsid w:val="009B0BE6"/>
    <w:rPr>
      <w:rFonts w:ascii="Times New Roman" w:eastAsia="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r&#233;solutions/3.GA/12?dec=resolutions&amp;ref_decision=3.G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en/r&#233;solutions/3.GA/12?dec=resolutions&amp;ref_decision=3.GA" TargetMode="External"/><Relationship Id="rId4" Type="http://schemas.openxmlformats.org/officeDocument/2006/relationships/settings" Target="settings.xml"/><Relationship Id="rId9" Type="http://schemas.openxmlformats.org/officeDocument/2006/relationships/hyperlink" Target="https://ich.unesco.org/en/r&#233;solutions/3.GA/12?dec=resolutions&amp;ref_decision=3.GA"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4F66-19D5-4714-9D2F-B734FCA5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67</TotalTime>
  <Pages>3</Pages>
  <Words>923</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Ohinata, Fumiko</cp:lastModifiedBy>
  <cp:revision>18</cp:revision>
  <cp:lastPrinted>2011-08-06T09:22:00Z</cp:lastPrinted>
  <dcterms:created xsi:type="dcterms:W3CDTF">2022-06-02T15:16:00Z</dcterms:created>
  <dcterms:modified xsi:type="dcterms:W3CDTF">2022-06-03T14:29:00Z</dcterms:modified>
</cp:coreProperties>
</file>