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0D7BAE" w:rsidRDefault="00EC6F8D" w:rsidP="00EC6F8D">
      <w:pPr>
        <w:spacing w:before="1440"/>
        <w:jc w:val="center"/>
        <w:rPr>
          <w:rFonts w:ascii="Arial" w:hAnsi="Arial" w:cs="Arial"/>
          <w:b/>
          <w:sz w:val="22"/>
          <w:szCs w:val="22"/>
          <w:lang w:val="en-GB"/>
        </w:rPr>
      </w:pPr>
      <w:r w:rsidRPr="000D7BAE">
        <w:rPr>
          <w:rFonts w:ascii="Arial" w:hAnsi="Arial" w:cs="Arial"/>
          <w:b/>
          <w:sz w:val="22"/>
          <w:szCs w:val="22"/>
          <w:lang w:val="en-GB"/>
        </w:rPr>
        <w:t>CONVENTION FOR THE SAFEGUARDING OF THE</w:t>
      </w:r>
      <w:r w:rsidRPr="000D7BAE">
        <w:rPr>
          <w:rFonts w:ascii="Arial" w:hAnsi="Arial" w:cs="Arial"/>
          <w:b/>
          <w:sz w:val="22"/>
          <w:szCs w:val="22"/>
          <w:lang w:val="en-GB"/>
        </w:rPr>
        <w:br/>
        <w:t>INTANGIBLE CULTURAL HERITAGE</w:t>
      </w:r>
    </w:p>
    <w:p w14:paraId="3F72B1D3" w14:textId="77777777" w:rsidR="00EC6F8D" w:rsidRPr="000D7BAE" w:rsidRDefault="00EC6F8D" w:rsidP="00EC6F8D">
      <w:pPr>
        <w:spacing w:before="1200"/>
        <w:jc w:val="center"/>
        <w:rPr>
          <w:rFonts w:ascii="Arial" w:hAnsi="Arial" w:cs="Arial"/>
          <w:b/>
          <w:sz w:val="22"/>
          <w:szCs w:val="22"/>
          <w:lang w:val="en-GB"/>
        </w:rPr>
      </w:pPr>
      <w:r w:rsidRPr="000D7BAE">
        <w:rPr>
          <w:rFonts w:ascii="Arial" w:hAnsi="Arial" w:cs="Arial"/>
          <w:b/>
          <w:sz w:val="22"/>
          <w:szCs w:val="22"/>
          <w:lang w:val="en-GB"/>
        </w:rPr>
        <w:t>INTERGOVERNMENTAL COMMITTEE FOR THE</w:t>
      </w:r>
      <w:r w:rsidRPr="000D7BAE">
        <w:rPr>
          <w:rFonts w:ascii="Arial" w:hAnsi="Arial" w:cs="Arial"/>
          <w:b/>
          <w:sz w:val="22"/>
          <w:szCs w:val="22"/>
          <w:lang w:val="en-GB"/>
        </w:rPr>
        <w:br/>
        <w:t>SAFEGUARDING OF THE INTANGIBLE CULTURAL HERITAGE</w:t>
      </w:r>
    </w:p>
    <w:p w14:paraId="2E1CD4B4" w14:textId="30579C08" w:rsidR="00EC6F8D" w:rsidRPr="000D7BAE" w:rsidRDefault="0026221A" w:rsidP="001D14FE">
      <w:pPr>
        <w:spacing w:before="840"/>
        <w:jc w:val="center"/>
        <w:rPr>
          <w:rFonts w:ascii="Arial" w:hAnsi="Arial" w:cs="Arial"/>
          <w:b/>
          <w:sz w:val="22"/>
          <w:szCs w:val="22"/>
          <w:lang w:val="en-GB"/>
        </w:rPr>
      </w:pPr>
      <w:r w:rsidRPr="000D7BAE">
        <w:rPr>
          <w:rFonts w:ascii="Arial" w:eastAsiaTheme="minorEastAsia" w:hAnsi="Arial" w:cs="Arial"/>
          <w:b/>
          <w:sz w:val="22"/>
          <w:szCs w:val="22"/>
          <w:lang w:val="en-GB" w:eastAsia="ko-KR"/>
        </w:rPr>
        <w:t>Seventeenth</w:t>
      </w:r>
      <w:r w:rsidR="00B2172B" w:rsidRPr="000D7BAE">
        <w:rPr>
          <w:rFonts w:ascii="Arial" w:eastAsiaTheme="minorEastAsia" w:hAnsi="Arial" w:cs="Arial"/>
          <w:b/>
          <w:sz w:val="22"/>
          <w:szCs w:val="22"/>
          <w:lang w:val="en-GB" w:eastAsia="ko-KR"/>
        </w:rPr>
        <w:t xml:space="preserve"> </w:t>
      </w:r>
      <w:r w:rsidR="00EC6F8D" w:rsidRPr="000D7BAE">
        <w:rPr>
          <w:rFonts w:ascii="Arial" w:hAnsi="Arial" w:cs="Arial"/>
          <w:b/>
          <w:sz w:val="22"/>
          <w:szCs w:val="22"/>
          <w:lang w:val="en-GB"/>
        </w:rPr>
        <w:t>session</w:t>
      </w:r>
    </w:p>
    <w:p w14:paraId="1FD89575" w14:textId="313BAF2C" w:rsidR="00B2172B" w:rsidRPr="000D7BAE" w:rsidRDefault="00937D53" w:rsidP="00B2172B">
      <w:pPr>
        <w:jc w:val="center"/>
        <w:rPr>
          <w:rFonts w:ascii="Arial" w:hAnsi="Arial" w:cs="Arial"/>
          <w:b/>
          <w:sz w:val="22"/>
          <w:szCs w:val="22"/>
          <w:lang w:val="en-GB"/>
        </w:rPr>
      </w:pPr>
      <w:r w:rsidRPr="000D7BAE">
        <w:rPr>
          <w:rFonts w:ascii="Arial" w:hAnsi="Arial" w:cs="Arial"/>
          <w:b/>
          <w:sz w:val="22"/>
          <w:szCs w:val="22"/>
          <w:lang w:val="en-GB"/>
        </w:rPr>
        <w:t xml:space="preserve">Rabat, </w:t>
      </w:r>
      <w:r w:rsidR="00F31F96" w:rsidRPr="000D7BAE">
        <w:rPr>
          <w:rFonts w:ascii="Arial" w:hAnsi="Arial" w:cs="Arial"/>
          <w:b/>
          <w:sz w:val="22"/>
          <w:szCs w:val="22"/>
          <w:lang w:val="en-GB"/>
        </w:rPr>
        <w:t xml:space="preserve">Kingdom of </w:t>
      </w:r>
      <w:r w:rsidRPr="000D7BAE">
        <w:rPr>
          <w:rFonts w:ascii="Arial" w:hAnsi="Arial" w:cs="Arial"/>
          <w:b/>
          <w:sz w:val="22"/>
          <w:szCs w:val="22"/>
          <w:lang w:val="en-GB"/>
        </w:rPr>
        <w:t>Morocco</w:t>
      </w:r>
    </w:p>
    <w:p w14:paraId="52EA6D50" w14:textId="0D174589" w:rsidR="00B2172B" w:rsidRPr="000D7BAE" w:rsidRDefault="0026221A" w:rsidP="00B2172B">
      <w:pPr>
        <w:jc w:val="center"/>
        <w:rPr>
          <w:rFonts w:ascii="Arial" w:hAnsi="Arial" w:cs="Arial"/>
          <w:b/>
          <w:sz w:val="22"/>
          <w:szCs w:val="22"/>
          <w:lang w:val="en-GB"/>
        </w:rPr>
      </w:pPr>
      <w:r w:rsidRPr="000D7BAE">
        <w:rPr>
          <w:rFonts w:ascii="Arial" w:hAnsi="Arial" w:cs="Arial"/>
          <w:b/>
          <w:sz w:val="22"/>
          <w:szCs w:val="22"/>
          <w:lang w:val="en-GB"/>
        </w:rPr>
        <w:t>28 November to 3</w:t>
      </w:r>
      <w:r w:rsidR="00B2172B" w:rsidRPr="000D7BAE">
        <w:rPr>
          <w:rFonts w:ascii="Arial" w:hAnsi="Arial" w:cs="Arial"/>
          <w:b/>
          <w:sz w:val="22"/>
          <w:szCs w:val="22"/>
          <w:lang w:val="en-GB"/>
        </w:rPr>
        <w:t xml:space="preserve"> December 202</w:t>
      </w:r>
      <w:r w:rsidRPr="000D7BAE">
        <w:rPr>
          <w:rFonts w:ascii="Arial" w:hAnsi="Arial" w:cs="Arial"/>
          <w:b/>
          <w:sz w:val="22"/>
          <w:szCs w:val="22"/>
          <w:lang w:val="en-GB"/>
        </w:rPr>
        <w:t>2</w:t>
      </w:r>
    </w:p>
    <w:p w14:paraId="0365203A" w14:textId="3B9BFD1A" w:rsidR="00EC6F8D" w:rsidRPr="000D7BAE" w:rsidRDefault="00EC6F8D" w:rsidP="00EC6F8D">
      <w:pPr>
        <w:pStyle w:val="Sansinterligne2"/>
        <w:spacing w:before="1200"/>
        <w:jc w:val="center"/>
        <w:rPr>
          <w:rFonts w:ascii="Arial" w:hAnsi="Arial" w:cs="Arial"/>
          <w:b/>
          <w:sz w:val="22"/>
          <w:szCs w:val="22"/>
          <w:lang w:val="en-GB"/>
        </w:rPr>
      </w:pPr>
      <w:r w:rsidRPr="000D7BAE">
        <w:rPr>
          <w:rFonts w:ascii="Arial" w:hAnsi="Arial" w:cs="Arial"/>
          <w:b/>
          <w:sz w:val="22"/>
          <w:szCs w:val="22"/>
          <w:u w:val="single"/>
          <w:lang w:val="en-GB"/>
        </w:rPr>
        <w:t xml:space="preserve">Item </w:t>
      </w:r>
      <w:r w:rsidR="00703E86" w:rsidRPr="000D7BAE">
        <w:rPr>
          <w:rFonts w:ascii="Arial" w:hAnsi="Arial" w:cs="Arial"/>
          <w:b/>
          <w:sz w:val="22"/>
          <w:szCs w:val="22"/>
          <w:u w:val="single"/>
          <w:lang w:val="en-GB"/>
        </w:rPr>
        <w:t>5</w:t>
      </w:r>
      <w:r w:rsidR="00651A5B" w:rsidRPr="000D7BAE">
        <w:rPr>
          <w:rFonts w:ascii="Arial" w:hAnsi="Arial" w:cs="Arial"/>
          <w:b/>
          <w:sz w:val="22"/>
          <w:szCs w:val="22"/>
          <w:u w:val="single"/>
          <w:lang w:val="en-GB"/>
        </w:rPr>
        <w:t xml:space="preserve"> </w:t>
      </w:r>
      <w:r w:rsidRPr="000D7BAE">
        <w:rPr>
          <w:rFonts w:ascii="Arial" w:hAnsi="Arial" w:cs="Arial"/>
          <w:b/>
          <w:sz w:val="22"/>
          <w:szCs w:val="22"/>
          <w:u w:val="single"/>
          <w:lang w:val="en-GB"/>
        </w:rPr>
        <w:t xml:space="preserve">of the </w:t>
      </w:r>
      <w:r w:rsidR="00937D53" w:rsidRPr="000D7BAE">
        <w:rPr>
          <w:rFonts w:ascii="Arial" w:hAnsi="Arial" w:cs="Arial"/>
          <w:b/>
          <w:sz w:val="22"/>
          <w:szCs w:val="22"/>
          <w:u w:val="single"/>
          <w:lang w:val="en-GB"/>
        </w:rPr>
        <w:t>p</w:t>
      </w:r>
      <w:r w:rsidRPr="000D7BAE">
        <w:rPr>
          <w:rFonts w:ascii="Arial" w:hAnsi="Arial" w:cs="Arial"/>
          <w:b/>
          <w:sz w:val="22"/>
          <w:szCs w:val="22"/>
          <w:u w:val="single"/>
          <w:lang w:val="en-GB"/>
        </w:rPr>
        <w:t xml:space="preserve">rovisional </w:t>
      </w:r>
      <w:r w:rsidR="00937D53" w:rsidRPr="000D7BAE">
        <w:rPr>
          <w:rFonts w:ascii="Arial" w:hAnsi="Arial" w:cs="Arial"/>
          <w:b/>
          <w:sz w:val="22"/>
          <w:szCs w:val="22"/>
          <w:u w:val="single"/>
          <w:lang w:val="en-GB"/>
        </w:rPr>
        <w:t>a</w:t>
      </w:r>
      <w:r w:rsidRPr="000D7BAE">
        <w:rPr>
          <w:rFonts w:ascii="Arial" w:hAnsi="Arial" w:cs="Arial"/>
          <w:b/>
          <w:sz w:val="22"/>
          <w:szCs w:val="22"/>
          <w:u w:val="single"/>
          <w:lang w:val="en-GB"/>
        </w:rPr>
        <w:t>genda</w:t>
      </w:r>
      <w:r w:rsidRPr="000D7BAE">
        <w:rPr>
          <w:rFonts w:ascii="Arial" w:hAnsi="Arial" w:cs="Arial"/>
          <w:b/>
          <w:sz w:val="22"/>
          <w:szCs w:val="22"/>
          <w:lang w:val="en-GB"/>
        </w:rPr>
        <w:t>:</w:t>
      </w:r>
    </w:p>
    <w:p w14:paraId="59920478" w14:textId="323159A8" w:rsidR="004A2875" w:rsidRPr="000D7BAE" w:rsidRDefault="00703E86" w:rsidP="004A2875">
      <w:pPr>
        <w:pStyle w:val="Sansinterligne2"/>
        <w:spacing w:after="960"/>
        <w:jc w:val="center"/>
        <w:rPr>
          <w:rFonts w:ascii="Arial" w:hAnsi="Arial" w:cs="Arial"/>
          <w:bCs/>
          <w:sz w:val="22"/>
          <w:szCs w:val="22"/>
          <w:lang w:val="en-GB"/>
        </w:rPr>
      </w:pPr>
      <w:r w:rsidRPr="000D7BAE">
        <w:rPr>
          <w:rFonts w:ascii="Arial" w:hAnsi="Arial" w:cs="Arial"/>
          <w:b/>
          <w:sz w:val="22"/>
          <w:szCs w:val="22"/>
          <w:lang w:val="en-GB"/>
        </w:rPr>
        <w:t>Report by the Secretariat on its activities (</w:t>
      </w:r>
      <w:r w:rsidR="00402D9D" w:rsidRPr="000D7BAE">
        <w:rPr>
          <w:rFonts w:ascii="Arial" w:hAnsi="Arial" w:cs="Arial"/>
          <w:b/>
          <w:sz w:val="22"/>
          <w:szCs w:val="22"/>
          <w:lang w:val="en-GB"/>
        </w:rPr>
        <w:t>January</w:t>
      </w:r>
      <w:r w:rsidRPr="000D7BAE">
        <w:rPr>
          <w:rFonts w:ascii="Arial" w:hAnsi="Arial" w:cs="Arial"/>
          <w:b/>
          <w:sz w:val="22"/>
          <w:szCs w:val="22"/>
          <w:lang w:val="en-GB"/>
        </w:rPr>
        <w:t xml:space="preserve"> to June 2022)</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D7BAE" w14:paraId="75AC6221" w14:textId="77777777" w:rsidTr="00EC6F8D">
        <w:trPr>
          <w:jc w:val="center"/>
        </w:trPr>
        <w:tc>
          <w:tcPr>
            <w:tcW w:w="5670" w:type="dxa"/>
            <w:vAlign w:val="center"/>
          </w:tcPr>
          <w:p w14:paraId="51C260A9" w14:textId="77777777" w:rsidR="00EC6F8D" w:rsidRPr="000D7BAE" w:rsidRDefault="00EC6F8D" w:rsidP="00CA56BB">
            <w:pPr>
              <w:pStyle w:val="Sansinterligne1"/>
              <w:spacing w:before="200" w:after="200"/>
              <w:jc w:val="center"/>
              <w:rPr>
                <w:rFonts w:ascii="Arial" w:hAnsi="Arial" w:cs="Arial"/>
                <w:b/>
                <w:sz w:val="22"/>
                <w:szCs w:val="22"/>
                <w:lang w:val="en-GB"/>
              </w:rPr>
            </w:pPr>
            <w:r w:rsidRPr="000D7BAE">
              <w:rPr>
                <w:rFonts w:ascii="Arial" w:hAnsi="Arial" w:cs="Arial"/>
                <w:b/>
                <w:sz w:val="22"/>
                <w:szCs w:val="22"/>
                <w:lang w:val="en-GB"/>
              </w:rPr>
              <w:t>Summary</w:t>
            </w:r>
          </w:p>
          <w:p w14:paraId="3C28B467" w14:textId="111E0594" w:rsidR="00122E62" w:rsidRPr="000D7BAE" w:rsidRDefault="00122E62" w:rsidP="00122E62">
            <w:pPr>
              <w:pStyle w:val="Sansinterligne1"/>
              <w:spacing w:before="200" w:after="200"/>
              <w:jc w:val="both"/>
              <w:rPr>
                <w:rFonts w:asciiTheme="minorBidi" w:hAnsiTheme="minorBidi" w:cstheme="minorBidi"/>
                <w:bCs/>
                <w:sz w:val="22"/>
                <w:szCs w:val="22"/>
                <w:lang w:val="en-GB"/>
              </w:rPr>
            </w:pPr>
            <w:r w:rsidRPr="000D7BAE">
              <w:rPr>
                <w:rFonts w:asciiTheme="minorBidi" w:hAnsiTheme="minorBidi" w:cstheme="minorBidi"/>
                <w:bCs/>
                <w:sz w:val="22"/>
                <w:szCs w:val="22"/>
                <w:lang w:val="en-GB"/>
              </w:rPr>
              <w:t>This document provides an overview of the activities undertaken by the Secretariat of the 2003 Convention from 1 January 2022 to 30 June 2022.</w:t>
            </w:r>
          </w:p>
          <w:p w14:paraId="290310E8" w14:textId="2A4940D3" w:rsidR="00EC6F8D" w:rsidRPr="000D7BAE" w:rsidRDefault="00EC6F8D" w:rsidP="00CA56BB">
            <w:pPr>
              <w:pStyle w:val="Sansinterligne2"/>
              <w:spacing w:before="200" w:after="200"/>
              <w:jc w:val="both"/>
              <w:rPr>
                <w:rFonts w:ascii="Arial" w:hAnsi="Arial" w:cs="Arial"/>
                <w:b/>
                <w:sz w:val="22"/>
                <w:szCs w:val="22"/>
                <w:lang w:val="en-GB"/>
              </w:rPr>
            </w:pPr>
            <w:r w:rsidRPr="000D7BAE">
              <w:rPr>
                <w:rFonts w:ascii="Arial" w:hAnsi="Arial" w:cs="Arial"/>
                <w:b/>
                <w:sz w:val="22"/>
                <w:szCs w:val="22"/>
                <w:lang w:val="en-GB"/>
              </w:rPr>
              <w:t>Decision required</w:t>
            </w:r>
            <w:r w:rsidRPr="00E961E4">
              <w:rPr>
                <w:rFonts w:ascii="Arial" w:hAnsi="Arial" w:cs="Arial"/>
                <w:bCs/>
                <w:sz w:val="22"/>
                <w:szCs w:val="22"/>
                <w:lang w:val="en-GB"/>
              </w:rPr>
              <w:t xml:space="preserve">: </w:t>
            </w:r>
            <w:r w:rsidRPr="000D7BAE">
              <w:rPr>
                <w:rFonts w:ascii="Arial" w:hAnsi="Arial" w:cs="Arial"/>
                <w:bCs/>
                <w:sz w:val="22"/>
                <w:szCs w:val="22"/>
                <w:lang w:val="en-GB"/>
              </w:rPr>
              <w:t xml:space="preserve">paragraph </w:t>
            </w:r>
            <w:r w:rsidR="0025776C" w:rsidRPr="000D7BAE">
              <w:rPr>
                <w:rFonts w:ascii="Arial" w:hAnsi="Arial" w:cs="Arial"/>
                <w:bCs/>
                <w:sz w:val="22"/>
                <w:szCs w:val="22"/>
                <w:lang w:val="en-GB"/>
              </w:rPr>
              <w:t>27</w:t>
            </w:r>
          </w:p>
        </w:tc>
      </w:tr>
    </w:tbl>
    <w:p w14:paraId="713D819F" w14:textId="77777777" w:rsidR="004A2875" w:rsidRPr="000D7BAE" w:rsidRDefault="00655736" w:rsidP="00C25012">
      <w:pPr>
        <w:pStyle w:val="ListParagraph"/>
        <w:keepLines/>
        <w:numPr>
          <w:ilvl w:val="0"/>
          <w:numId w:val="5"/>
        </w:numPr>
        <w:spacing w:after="240"/>
        <w:ind w:left="567" w:hanging="567"/>
        <w:contextualSpacing w:val="0"/>
        <w:rPr>
          <w:rFonts w:ascii="Arial" w:hAnsi="Arial" w:cs="Arial"/>
          <w:b/>
          <w:snapToGrid w:val="0"/>
          <w:sz w:val="22"/>
          <w:szCs w:val="22"/>
          <w:lang w:val="en-GB" w:eastAsia="en-US"/>
        </w:rPr>
      </w:pPr>
      <w:r w:rsidRPr="00E961E4">
        <w:rPr>
          <w:sz w:val="22"/>
          <w:szCs w:val="22"/>
          <w:lang w:val="en-GB"/>
        </w:rPr>
        <w:br w:type="page"/>
      </w:r>
    </w:p>
    <w:p w14:paraId="6C62585F" w14:textId="1C8B4FBE" w:rsidR="00F70CC5" w:rsidRPr="000D7BAE" w:rsidRDefault="00F70CC5" w:rsidP="001E00A2">
      <w:pPr>
        <w:pStyle w:val="COMPara"/>
        <w:numPr>
          <w:ilvl w:val="0"/>
          <w:numId w:val="0"/>
        </w:numPr>
        <w:spacing w:before="240"/>
        <w:jc w:val="both"/>
        <w:rPr>
          <w:rFonts w:asciiTheme="minorBidi" w:hAnsiTheme="minorBidi" w:cstheme="minorBidi"/>
          <w:b/>
          <w:bCs/>
        </w:rPr>
      </w:pPr>
      <w:r w:rsidRPr="000D7BAE">
        <w:rPr>
          <w:rFonts w:asciiTheme="minorBidi" w:hAnsiTheme="minorBidi" w:cstheme="minorBidi"/>
          <w:b/>
          <w:bCs/>
        </w:rPr>
        <w:lastRenderedPageBreak/>
        <w:t>Introduction</w:t>
      </w:r>
    </w:p>
    <w:p w14:paraId="51BCA39F" w14:textId="2997DB3B" w:rsidR="002B1E5C" w:rsidRPr="00E961E4" w:rsidRDefault="002B1E5C" w:rsidP="0049565D">
      <w:pPr>
        <w:pStyle w:val="GAPara"/>
        <w:numPr>
          <w:ilvl w:val="0"/>
          <w:numId w:val="6"/>
        </w:numPr>
        <w:ind w:left="567" w:hanging="567"/>
        <w:jc w:val="both"/>
        <w:rPr>
          <w:rFonts w:asciiTheme="minorBidi" w:hAnsiTheme="minorBidi" w:cstheme="minorBidi"/>
          <w:bCs/>
        </w:rPr>
      </w:pPr>
      <w:r w:rsidRPr="000D7BAE">
        <w:rPr>
          <w:rFonts w:asciiTheme="minorBidi" w:hAnsiTheme="minorBidi" w:cstheme="minorBidi"/>
        </w:rPr>
        <w:t>The present report</w:t>
      </w:r>
      <w:r w:rsidR="00B86078" w:rsidRPr="000D7BAE">
        <w:rPr>
          <w:rStyle w:val="FootnoteReference"/>
          <w:rFonts w:asciiTheme="minorBidi" w:hAnsiTheme="minorBidi" w:cstheme="minorBidi"/>
        </w:rPr>
        <w:footnoteReference w:id="1"/>
      </w:r>
      <w:r w:rsidRPr="000D7BAE">
        <w:rPr>
          <w:rFonts w:asciiTheme="minorBidi" w:hAnsiTheme="minorBidi" w:cstheme="minorBidi"/>
        </w:rPr>
        <w:t xml:space="preserve"> </w:t>
      </w:r>
      <w:r w:rsidR="007E07FA" w:rsidRPr="000D7BAE">
        <w:rPr>
          <w:rFonts w:asciiTheme="minorBidi" w:hAnsiTheme="minorBidi" w:cstheme="minorBidi"/>
        </w:rPr>
        <w:t xml:space="preserve">provides an overview of the Secretariat’s activities, its key achievements and challenges encountered </w:t>
      </w:r>
      <w:r w:rsidRPr="000D7BAE">
        <w:rPr>
          <w:rFonts w:asciiTheme="minorBidi" w:hAnsiTheme="minorBidi" w:cstheme="minorBidi"/>
        </w:rPr>
        <w:t>from January to June 2022</w:t>
      </w:r>
      <w:r w:rsidRPr="000D7BAE">
        <w:rPr>
          <w:rFonts w:asciiTheme="minorBidi" w:hAnsiTheme="minorBidi" w:cstheme="minorBidi"/>
          <w:bCs/>
        </w:rPr>
        <w:t>.</w:t>
      </w:r>
      <w:r w:rsidR="006F0081" w:rsidRPr="000D7BAE">
        <w:rPr>
          <w:rFonts w:asciiTheme="minorBidi" w:hAnsiTheme="minorBidi" w:cstheme="minorBidi"/>
          <w:bCs/>
        </w:rPr>
        <w:t xml:space="preserve"> </w:t>
      </w:r>
      <w:r w:rsidR="008438B1" w:rsidRPr="00E961E4">
        <w:rPr>
          <w:rFonts w:asciiTheme="minorBidi" w:hAnsiTheme="minorBidi" w:cstheme="minorBidi"/>
          <w:bCs/>
        </w:rPr>
        <w:t xml:space="preserve">The </w:t>
      </w:r>
      <w:r w:rsidR="005E7DD2" w:rsidRPr="00E961E4">
        <w:rPr>
          <w:rFonts w:asciiTheme="minorBidi" w:hAnsiTheme="minorBidi" w:cstheme="minorBidi"/>
          <w:bCs/>
        </w:rPr>
        <w:t xml:space="preserve">reporting </w:t>
      </w:r>
      <w:r w:rsidR="008438B1" w:rsidRPr="00E961E4">
        <w:rPr>
          <w:rFonts w:asciiTheme="minorBidi" w:hAnsiTheme="minorBidi" w:cstheme="minorBidi"/>
          <w:bCs/>
        </w:rPr>
        <w:t xml:space="preserve">period </w:t>
      </w:r>
      <w:r w:rsidR="005E7DD2" w:rsidRPr="00E961E4">
        <w:rPr>
          <w:rFonts w:asciiTheme="minorBidi" w:hAnsiTheme="minorBidi" w:cstheme="minorBidi"/>
          <w:bCs/>
        </w:rPr>
        <w:t xml:space="preserve">is aligned </w:t>
      </w:r>
      <w:r w:rsidR="007F4CCB" w:rsidRPr="00E961E4">
        <w:rPr>
          <w:rFonts w:asciiTheme="minorBidi" w:hAnsiTheme="minorBidi" w:cstheme="minorBidi"/>
          <w:bCs/>
        </w:rPr>
        <w:t xml:space="preserve">with </w:t>
      </w:r>
      <w:r w:rsidR="005E7DD2" w:rsidRPr="00E961E4">
        <w:rPr>
          <w:rFonts w:asciiTheme="minorBidi" w:hAnsiTheme="minorBidi" w:cstheme="minorBidi"/>
          <w:bCs/>
        </w:rPr>
        <w:t>UNESCO</w:t>
      </w:r>
      <w:r w:rsidR="007F4CCB" w:rsidRPr="00E961E4">
        <w:rPr>
          <w:rFonts w:asciiTheme="minorBidi" w:hAnsiTheme="minorBidi" w:cstheme="minorBidi"/>
          <w:bCs/>
        </w:rPr>
        <w:t>’s other statutory</w:t>
      </w:r>
      <w:r w:rsidR="008438B1" w:rsidRPr="00E961E4">
        <w:rPr>
          <w:rFonts w:asciiTheme="minorBidi" w:hAnsiTheme="minorBidi" w:cstheme="minorBidi"/>
          <w:bCs/>
        </w:rPr>
        <w:t xml:space="preserve"> reporting processes, namely the </w:t>
      </w:r>
      <w:hyperlink r:id="rId11" w:history="1">
        <w:r w:rsidR="008438B1" w:rsidRPr="00E961E4">
          <w:rPr>
            <w:rStyle w:val="Hyperlink"/>
            <w:rFonts w:asciiTheme="minorBidi" w:hAnsiTheme="minorBidi" w:cstheme="minorBidi"/>
            <w:bCs/>
          </w:rPr>
          <w:t>Director-General’s report</w:t>
        </w:r>
      </w:hyperlink>
      <w:r w:rsidR="008438B1" w:rsidRPr="00E961E4">
        <w:rPr>
          <w:rFonts w:asciiTheme="minorBidi" w:hAnsiTheme="minorBidi" w:cstheme="minorBidi"/>
          <w:bCs/>
        </w:rPr>
        <w:t xml:space="preserve"> to the Executive Board on the execution of the </w:t>
      </w:r>
      <w:r w:rsidR="008438B1" w:rsidRPr="000D7BAE">
        <w:rPr>
          <w:rFonts w:asciiTheme="minorBidi" w:hAnsiTheme="minorBidi" w:cstheme="minorBidi"/>
          <w:bCs/>
        </w:rPr>
        <w:t xml:space="preserve">first six months of the biennium 2022-2023 of the </w:t>
      </w:r>
      <w:hyperlink r:id="rId12" w:history="1">
        <w:r w:rsidR="008438B1" w:rsidRPr="000D7BAE">
          <w:rPr>
            <w:rStyle w:val="Hyperlink"/>
            <w:rFonts w:asciiTheme="minorBidi" w:hAnsiTheme="minorBidi" w:cstheme="minorBidi"/>
            <w:bCs/>
          </w:rPr>
          <w:t>41C/5 Approved programme and budget</w:t>
        </w:r>
        <w:r w:rsidR="008438B1" w:rsidRPr="000D7BAE">
          <w:rPr>
            <w:rStyle w:val="Hyperlink"/>
            <w:rFonts w:asciiTheme="minorBidi" w:hAnsiTheme="minorBidi" w:cstheme="minorBidi"/>
          </w:rPr>
          <w:t xml:space="preserve"> for 2022-2025</w:t>
        </w:r>
      </w:hyperlink>
      <w:r w:rsidR="0049565D" w:rsidRPr="000D7BAE">
        <w:rPr>
          <w:rFonts w:asciiTheme="minorBidi" w:hAnsiTheme="minorBidi" w:cstheme="minorBidi"/>
        </w:rPr>
        <w:t xml:space="preserve">. In addition, </w:t>
      </w:r>
      <w:r w:rsidR="00EC259C" w:rsidRPr="000D7BAE">
        <w:rPr>
          <w:rFonts w:asciiTheme="minorBidi" w:hAnsiTheme="minorBidi" w:cstheme="minorBidi"/>
        </w:rPr>
        <w:t>Annex I demonstrates the contribution of the Secretariat’s work to the 4</w:t>
      </w:r>
      <w:r w:rsidR="007C2B6B" w:rsidRPr="000D7BAE">
        <w:rPr>
          <w:rFonts w:asciiTheme="minorBidi" w:hAnsiTheme="minorBidi" w:cstheme="minorBidi"/>
        </w:rPr>
        <w:t>1</w:t>
      </w:r>
      <w:r w:rsidR="00EC259C" w:rsidRPr="000D7BAE">
        <w:rPr>
          <w:rFonts w:asciiTheme="minorBidi" w:hAnsiTheme="minorBidi" w:cstheme="minorBidi"/>
        </w:rPr>
        <w:t xml:space="preserve">C/5 results framework and, more specifically, to the performance indicators </w:t>
      </w:r>
      <w:r w:rsidR="007C2B6B" w:rsidRPr="00E961E4">
        <w:rPr>
          <w:rFonts w:asciiTheme="minorBidi" w:hAnsiTheme="minorBidi" w:cstheme="minorBidi"/>
          <w:iCs/>
        </w:rPr>
        <w:t xml:space="preserve">under the Outcome </w:t>
      </w:r>
      <w:proofErr w:type="gramStart"/>
      <w:r w:rsidR="007C2B6B" w:rsidRPr="00E961E4">
        <w:rPr>
          <w:rFonts w:asciiTheme="minorBidi" w:hAnsiTheme="minorBidi" w:cstheme="minorBidi"/>
          <w:iCs/>
        </w:rPr>
        <w:t>5.CLT</w:t>
      </w:r>
      <w:proofErr w:type="gramEnd"/>
      <w:r w:rsidR="007C2B6B" w:rsidRPr="00E961E4">
        <w:rPr>
          <w:rFonts w:asciiTheme="minorBidi" w:hAnsiTheme="minorBidi" w:cstheme="minorBidi"/>
          <w:iCs/>
        </w:rPr>
        <w:t>4 (‘Member States’ and communities’ capacities strengthened to identify, safeguard and promote living heritage’) of Major Programme IV</w:t>
      </w:r>
      <w:r w:rsidR="00B2227D" w:rsidRPr="00E961E4">
        <w:rPr>
          <w:rFonts w:asciiTheme="minorBidi" w:hAnsiTheme="minorBidi" w:cstheme="minorBidi"/>
          <w:iCs/>
        </w:rPr>
        <w:t>.</w:t>
      </w:r>
      <w:r w:rsidR="00C14BA9" w:rsidRPr="00E961E4">
        <w:rPr>
          <w:rFonts w:asciiTheme="minorBidi" w:hAnsiTheme="minorBidi" w:cstheme="minorBidi"/>
          <w:iCs/>
        </w:rPr>
        <w:t xml:space="preserve"> Furthermore, references are made to the </w:t>
      </w:r>
      <w:hyperlink r:id="rId13" w:history="1">
        <w:r w:rsidR="00C14BA9" w:rsidRPr="00E961E4">
          <w:rPr>
            <w:rStyle w:val="Hyperlink"/>
            <w:rFonts w:asciiTheme="minorBidi" w:hAnsiTheme="minorBidi" w:cstheme="minorBidi"/>
            <w:iCs/>
          </w:rPr>
          <w:t>2021 IOS Evaluation</w:t>
        </w:r>
      </w:hyperlink>
      <w:r w:rsidR="00C14BA9" w:rsidRPr="00E961E4">
        <w:rPr>
          <w:rFonts w:asciiTheme="minorBidi" w:hAnsiTheme="minorBidi" w:cstheme="minorBidi"/>
          <w:iCs/>
        </w:rPr>
        <w:t xml:space="preserve"> of UNESCO’s action in the framework of the 2003 Convention</w:t>
      </w:r>
      <w:r w:rsidR="00CB5726" w:rsidRPr="00E961E4">
        <w:rPr>
          <w:rFonts w:asciiTheme="minorBidi" w:hAnsiTheme="minorBidi" w:cstheme="minorBidi"/>
          <w:iCs/>
        </w:rPr>
        <w:t xml:space="preserve"> (document</w:t>
      </w:r>
      <w:r w:rsidR="000D7BAE">
        <w:rPr>
          <w:rFonts w:asciiTheme="minorBidi" w:hAnsiTheme="minorBidi" w:cstheme="minorBidi"/>
          <w:iCs/>
        </w:rPr>
        <w:t>s</w:t>
      </w:r>
      <w:r w:rsidR="00CB5726" w:rsidRPr="00E961E4">
        <w:rPr>
          <w:rFonts w:asciiTheme="minorBidi" w:hAnsiTheme="minorBidi" w:cstheme="minorBidi"/>
          <w:iCs/>
        </w:rPr>
        <w:t xml:space="preserve"> </w:t>
      </w:r>
      <w:hyperlink r:id="rId14" w:history="1">
        <w:r w:rsidR="00CB5726" w:rsidRPr="00E961E4">
          <w:rPr>
            <w:rStyle w:val="Hyperlink"/>
            <w:rFonts w:cstheme="minorBidi"/>
          </w:rPr>
          <w:t>LHE/21/16.COM/10 Rev.</w:t>
        </w:r>
      </w:hyperlink>
      <w:r w:rsidR="00CB5726" w:rsidRPr="00E961E4">
        <w:rPr>
          <w:rFonts w:asciiTheme="minorBidi" w:hAnsiTheme="minorBidi" w:cstheme="minorBidi"/>
          <w:iCs/>
        </w:rPr>
        <w:t xml:space="preserve"> and </w:t>
      </w:r>
      <w:hyperlink r:id="rId15" w:history="1">
        <w:r w:rsidR="00CB5726" w:rsidRPr="00E961E4">
          <w:rPr>
            <w:rStyle w:val="Hyperlink"/>
            <w:rFonts w:cstheme="minorBidi"/>
          </w:rPr>
          <w:t>LHE</w:t>
        </w:r>
        <w:r w:rsidR="003659A4" w:rsidRPr="00E961E4">
          <w:rPr>
            <w:rStyle w:val="Hyperlink"/>
            <w:rFonts w:cstheme="minorBidi"/>
          </w:rPr>
          <w:t>/</w:t>
        </w:r>
        <w:r w:rsidR="00CB5726" w:rsidRPr="00E961E4">
          <w:rPr>
            <w:rStyle w:val="Hyperlink"/>
            <w:rFonts w:cstheme="minorBidi"/>
          </w:rPr>
          <w:t>21/16.COM/INF.10 Rev.</w:t>
        </w:r>
      </w:hyperlink>
      <w:r w:rsidR="00CB5726" w:rsidRPr="00E961E4">
        <w:rPr>
          <w:rFonts w:asciiTheme="minorBidi" w:hAnsiTheme="minorBidi" w:cstheme="minorBidi"/>
          <w:iCs/>
        </w:rPr>
        <w:t>)</w:t>
      </w:r>
      <w:r w:rsidR="00C14BA9" w:rsidRPr="00E961E4">
        <w:rPr>
          <w:rFonts w:asciiTheme="minorBidi" w:hAnsiTheme="minorBidi" w:cstheme="minorBidi"/>
          <w:iCs/>
        </w:rPr>
        <w:t>.</w:t>
      </w:r>
    </w:p>
    <w:p w14:paraId="7B800C9C" w14:textId="39B78452" w:rsidR="002B1E5C" w:rsidRPr="00E961E4" w:rsidRDefault="002B1E5C" w:rsidP="00C25012">
      <w:pPr>
        <w:pStyle w:val="GAPara"/>
        <w:numPr>
          <w:ilvl w:val="0"/>
          <w:numId w:val="6"/>
        </w:numPr>
        <w:ind w:left="567" w:hanging="567"/>
        <w:jc w:val="both"/>
        <w:rPr>
          <w:rFonts w:asciiTheme="minorBidi" w:hAnsiTheme="minorBidi" w:cstheme="minorBidi"/>
          <w:bCs/>
        </w:rPr>
      </w:pPr>
      <w:r w:rsidRPr="00E961E4">
        <w:rPr>
          <w:rFonts w:asciiTheme="minorBidi" w:hAnsiTheme="minorBidi" w:cstheme="minorBidi"/>
          <w:bCs/>
        </w:rPr>
        <w:t xml:space="preserve">The Living Heritage Entity serves as the Secretariat of the Convention. It is structured around two units and </w:t>
      </w:r>
      <w:r w:rsidR="00644D31" w:rsidRPr="00E961E4">
        <w:rPr>
          <w:rFonts w:asciiTheme="minorBidi" w:hAnsiTheme="minorBidi" w:cstheme="minorBidi"/>
          <w:bCs/>
        </w:rPr>
        <w:t xml:space="preserve">three </w:t>
      </w:r>
      <w:r w:rsidRPr="00E961E4">
        <w:rPr>
          <w:rFonts w:asciiTheme="minorBidi" w:hAnsiTheme="minorBidi" w:cstheme="minorBidi"/>
          <w:bCs/>
        </w:rPr>
        <w:t>teams: the Programme Management Unit (including the Statutory Support Team) and the Capacity Building and Heritage Policy Unit, as well as the Safeguarding, Implementation and Monitoring Team and the Knowledge Management and Outreach Team.</w:t>
      </w:r>
    </w:p>
    <w:p w14:paraId="123B6521" w14:textId="505C0A24" w:rsidR="00F70CC5" w:rsidRPr="000D7BAE" w:rsidRDefault="00397F83" w:rsidP="00FB67AE">
      <w:pPr>
        <w:pStyle w:val="COMPara"/>
        <w:numPr>
          <w:ilvl w:val="0"/>
          <w:numId w:val="0"/>
        </w:numPr>
        <w:spacing w:before="240"/>
        <w:jc w:val="both"/>
        <w:rPr>
          <w:rFonts w:asciiTheme="minorBidi" w:hAnsiTheme="minorBidi" w:cstheme="minorBidi"/>
          <w:b/>
          <w:bCs/>
        </w:rPr>
      </w:pPr>
      <w:bookmarkStart w:id="0" w:name="_Hlk114585834"/>
      <w:r w:rsidRPr="000D7BAE">
        <w:rPr>
          <w:rFonts w:asciiTheme="minorBidi" w:hAnsiTheme="minorBidi" w:cstheme="minorBidi"/>
          <w:b/>
          <w:bCs/>
        </w:rPr>
        <w:t>I</w:t>
      </w:r>
      <w:r w:rsidR="00F70CC5" w:rsidRPr="000D7BAE">
        <w:rPr>
          <w:rFonts w:asciiTheme="minorBidi" w:hAnsiTheme="minorBidi" w:cstheme="minorBidi"/>
          <w:b/>
          <w:bCs/>
        </w:rPr>
        <w:t xml:space="preserve">. </w:t>
      </w:r>
      <w:r w:rsidRPr="000D7BAE">
        <w:rPr>
          <w:rFonts w:asciiTheme="minorBidi" w:hAnsiTheme="minorBidi" w:cstheme="minorBidi"/>
          <w:b/>
          <w:bCs/>
        </w:rPr>
        <w:t>Enhanced international cooperation and assistance mechanisms of the 2003 Convention</w:t>
      </w:r>
    </w:p>
    <w:bookmarkEnd w:id="0"/>
    <w:p w14:paraId="1063B4DA" w14:textId="4292A6BE" w:rsidR="00C76377" w:rsidRPr="000D7BAE" w:rsidRDefault="0038539E" w:rsidP="00370292">
      <w:pPr>
        <w:pStyle w:val="GAPara"/>
        <w:numPr>
          <w:ilvl w:val="0"/>
          <w:numId w:val="6"/>
        </w:numPr>
        <w:ind w:left="567" w:hanging="567"/>
        <w:jc w:val="both"/>
        <w:rPr>
          <w:rFonts w:asciiTheme="minorBidi" w:hAnsiTheme="minorBidi" w:cstheme="minorBidi"/>
        </w:rPr>
      </w:pPr>
      <w:r w:rsidRPr="000D7BAE">
        <w:rPr>
          <w:rFonts w:asciiTheme="minorBidi" w:hAnsiTheme="minorBidi" w:cstheme="minorBidi"/>
          <w:b/>
          <w:bCs/>
        </w:rPr>
        <w:t>Support to governing bodies</w:t>
      </w:r>
      <w:r w:rsidR="00B21DB3" w:rsidRPr="000D7BAE">
        <w:rPr>
          <w:rFonts w:asciiTheme="minorBidi" w:hAnsiTheme="minorBidi" w:cstheme="minorBidi"/>
          <w:b/>
          <w:bCs/>
        </w:rPr>
        <w:t xml:space="preserve">: </w:t>
      </w:r>
      <w:r w:rsidR="00B21DB3" w:rsidRPr="000D7BAE">
        <w:rPr>
          <w:rFonts w:asciiTheme="minorBidi" w:hAnsiTheme="minorBidi" w:cstheme="minorBidi"/>
        </w:rPr>
        <w:t xml:space="preserve">During the reporting period the Secretariat has provided </w:t>
      </w:r>
      <w:r w:rsidR="0034520C" w:rsidRPr="000D7BAE">
        <w:rPr>
          <w:rFonts w:asciiTheme="minorBidi" w:hAnsiTheme="minorBidi" w:cstheme="minorBidi"/>
        </w:rPr>
        <w:t>continued</w:t>
      </w:r>
      <w:r w:rsidR="003E1EFF" w:rsidRPr="000D7BAE">
        <w:rPr>
          <w:rFonts w:asciiTheme="minorBidi" w:hAnsiTheme="minorBidi" w:cstheme="minorBidi"/>
        </w:rPr>
        <w:t xml:space="preserve"> </w:t>
      </w:r>
      <w:r w:rsidR="00B21DB3" w:rsidRPr="000D7BAE">
        <w:rPr>
          <w:rFonts w:asciiTheme="minorBidi" w:hAnsiTheme="minorBidi" w:cstheme="minorBidi"/>
        </w:rPr>
        <w:t xml:space="preserve">support for the work of the governing bodies of the Convention </w:t>
      </w:r>
      <w:r w:rsidR="00C154D9" w:rsidRPr="000D7BAE">
        <w:rPr>
          <w:rFonts w:asciiTheme="minorBidi" w:hAnsiTheme="minorBidi" w:cstheme="minorBidi"/>
        </w:rPr>
        <w:t>through</w:t>
      </w:r>
      <w:r w:rsidR="00B21DB3" w:rsidRPr="000D7BAE">
        <w:rPr>
          <w:rFonts w:asciiTheme="minorBidi" w:hAnsiTheme="minorBidi" w:cstheme="minorBidi"/>
        </w:rPr>
        <w:t xml:space="preserve"> </w:t>
      </w:r>
      <w:r w:rsidR="003E1EFF" w:rsidRPr="000D7BAE">
        <w:rPr>
          <w:rFonts w:asciiTheme="minorBidi" w:hAnsiTheme="minorBidi" w:cstheme="minorBidi"/>
        </w:rPr>
        <w:t xml:space="preserve">the organization of </w:t>
      </w:r>
      <w:r w:rsidR="00FE257B" w:rsidRPr="000D7BAE">
        <w:rPr>
          <w:rFonts w:asciiTheme="minorBidi" w:hAnsiTheme="minorBidi" w:cstheme="minorBidi"/>
        </w:rPr>
        <w:t xml:space="preserve">twelve </w:t>
      </w:r>
      <w:r w:rsidR="00B21DB3" w:rsidRPr="000D7BAE">
        <w:rPr>
          <w:rFonts w:asciiTheme="minorBidi" w:hAnsiTheme="minorBidi" w:cstheme="minorBidi"/>
        </w:rPr>
        <w:t>statutory meetings</w:t>
      </w:r>
      <w:r w:rsidR="00664B02" w:rsidRPr="000D7BAE">
        <w:rPr>
          <w:rStyle w:val="FootnoteReference"/>
          <w:rFonts w:asciiTheme="minorBidi" w:hAnsiTheme="minorBidi" w:cstheme="minorBidi"/>
        </w:rPr>
        <w:footnoteReference w:id="2"/>
      </w:r>
      <w:r w:rsidR="00F73323" w:rsidRPr="000D7BAE">
        <w:rPr>
          <w:rFonts w:asciiTheme="minorBidi" w:hAnsiTheme="minorBidi" w:cstheme="minorBidi"/>
        </w:rPr>
        <w:t xml:space="preserve">. </w:t>
      </w:r>
      <w:r w:rsidR="009B6CBC" w:rsidRPr="000D7BAE">
        <w:t>This was the first year that the Secretariat</w:t>
      </w:r>
      <w:r w:rsidR="007F4CCB" w:rsidRPr="000D7BAE">
        <w:t xml:space="preserve"> had</w:t>
      </w:r>
      <w:r w:rsidR="009B6CBC" w:rsidRPr="000D7BAE">
        <w:t xml:space="preserve"> published a full </w:t>
      </w:r>
      <w:hyperlink r:id="rId16" w:history="1">
        <w:r w:rsidR="009B6CBC" w:rsidRPr="00E961E4">
          <w:rPr>
            <w:rStyle w:val="Hyperlink"/>
            <w:rFonts w:cs="Arial"/>
          </w:rPr>
          <w:t>Schedule of statutory meetings in 2022</w:t>
        </w:r>
      </w:hyperlink>
      <w:r w:rsidR="009B6CBC" w:rsidRPr="000D7BAE">
        <w:t xml:space="preserve"> </w:t>
      </w:r>
      <w:r w:rsidR="007F4CCB" w:rsidRPr="000D7BAE">
        <w:t>on the website of the Convention;</w:t>
      </w:r>
      <w:r w:rsidR="009B6CBC" w:rsidRPr="000D7BAE">
        <w:t xml:space="preserve"> </w:t>
      </w:r>
      <w:r w:rsidR="007F4CCB" w:rsidRPr="000D7BAE">
        <w:t>the schedule</w:t>
      </w:r>
      <w:r w:rsidR="009B6CBC" w:rsidRPr="000D7BAE">
        <w:t xml:space="preserve"> was updated throughout the year and </w:t>
      </w:r>
      <w:r w:rsidR="007F4CCB" w:rsidRPr="000D7BAE">
        <w:t xml:space="preserve">was intended to serve </w:t>
      </w:r>
      <w:r w:rsidR="009B6CBC" w:rsidRPr="000D7BAE">
        <w:t xml:space="preserve">as a helpful tool for States Parties to organize their participation in the various meetings. </w:t>
      </w:r>
      <w:r w:rsidR="00C76377" w:rsidRPr="000D7BAE">
        <w:rPr>
          <w:rFonts w:asciiTheme="minorBidi" w:hAnsiTheme="minorBidi" w:cstheme="minorBidi"/>
        </w:rPr>
        <w:t>Th</w:t>
      </w:r>
      <w:r w:rsidR="00B21DB3" w:rsidRPr="000D7BAE">
        <w:rPr>
          <w:rFonts w:asciiTheme="minorBidi" w:hAnsiTheme="minorBidi" w:cstheme="minorBidi"/>
        </w:rPr>
        <w:t>e COVID-19 pandemic</w:t>
      </w:r>
      <w:r w:rsidR="00C76377" w:rsidRPr="000D7BAE">
        <w:rPr>
          <w:rFonts w:asciiTheme="minorBidi" w:hAnsiTheme="minorBidi" w:cstheme="minorBidi"/>
        </w:rPr>
        <w:t xml:space="preserve"> continued to</w:t>
      </w:r>
      <w:r w:rsidR="00B21DB3" w:rsidRPr="000D7BAE">
        <w:rPr>
          <w:rFonts w:asciiTheme="minorBidi" w:hAnsiTheme="minorBidi" w:cstheme="minorBidi"/>
        </w:rPr>
        <w:t xml:space="preserve"> affect t</w:t>
      </w:r>
      <w:r w:rsidR="00B21DB3" w:rsidRPr="000D7BAE">
        <w:rPr>
          <w:rFonts w:asciiTheme="minorBidi" w:hAnsiTheme="minorBidi" w:cstheme="minorBidi"/>
          <w:bCs/>
        </w:rPr>
        <w:t>he operations of the Secretariat</w:t>
      </w:r>
      <w:r w:rsidR="00C76377" w:rsidRPr="000D7BAE">
        <w:rPr>
          <w:rFonts w:asciiTheme="minorBidi" w:hAnsiTheme="minorBidi" w:cstheme="minorBidi"/>
          <w:bCs/>
        </w:rPr>
        <w:t>, who could take stock</w:t>
      </w:r>
      <w:r w:rsidR="00B21DB3" w:rsidRPr="000D7BAE">
        <w:rPr>
          <w:rFonts w:asciiTheme="minorBidi" w:hAnsiTheme="minorBidi" w:cstheme="minorBidi"/>
          <w:bCs/>
        </w:rPr>
        <w:t xml:space="preserve"> of the </w:t>
      </w:r>
      <w:r w:rsidR="0022228B" w:rsidRPr="000D7BAE">
        <w:rPr>
          <w:rFonts w:asciiTheme="minorBidi" w:hAnsiTheme="minorBidi" w:cstheme="minorBidi"/>
          <w:bCs/>
        </w:rPr>
        <w:t xml:space="preserve">experience gained </w:t>
      </w:r>
      <w:r w:rsidR="005F778A" w:rsidRPr="000D7BAE">
        <w:rPr>
          <w:rFonts w:asciiTheme="minorBidi" w:hAnsiTheme="minorBidi" w:cstheme="minorBidi"/>
          <w:bCs/>
        </w:rPr>
        <w:t xml:space="preserve">over </w:t>
      </w:r>
      <w:r w:rsidR="0022228B" w:rsidRPr="000D7BAE">
        <w:rPr>
          <w:rFonts w:asciiTheme="minorBidi" w:hAnsiTheme="minorBidi" w:cstheme="minorBidi"/>
          <w:bCs/>
        </w:rPr>
        <w:t xml:space="preserve">the </w:t>
      </w:r>
      <w:r w:rsidR="005F778A" w:rsidRPr="000D7BAE">
        <w:rPr>
          <w:rFonts w:asciiTheme="minorBidi" w:hAnsiTheme="minorBidi" w:cstheme="minorBidi"/>
          <w:bCs/>
        </w:rPr>
        <w:t>past</w:t>
      </w:r>
      <w:r w:rsidR="0022228B" w:rsidRPr="000D7BAE">
        <w:rPr>
          <w:rFonts w:asciiTheme="minorBidi" w:hAnsiTheme="minorBidi" w:cstheme="minorBidi"/>
          <w:bCs/>
        </w:rPr>
        <w:t xml:space="preserve"> two years with </w:t>
      </w:r>
      <w:r w:rsidR="005F778A" w:rsidRPr="000D7BAE">
        <w:rPr>
          <w:rFonts w:asciiTheme="minorBidi" w:hAnsiTheme="minorBidi" w:cstheme="minorBidi"/>
          <w:bCs/>
        </w:rPr>
        <w:t xml:space="preserve">the introduction of </w:t>
      </w:r>
      <w:r w:rsidR="0022228B" w:rsidRPr="000D7BAE">
        <w:rPr>
          <w:rFonts w:asciiTheme="minorBidi" w:hAnsiTheme="minorBidi" w:cstheme="minorBidi"/>
          <w:bCs/>
        </w:rPr>
        <w:t xml:space="preserve">new </w:t>
      </w:r>
      <w:r w:rsidR="00B21DB3" w:rsidRPr="000D7BAE">
        <w:rPr>
          <w:rFonts w:asciiTheme="minorBidi" w:hAnsiTheme="minorBidi" w:cstheme="minorBidi"/>
          <w:bCs/>
        </w:rPr>
        <w:t>technological support, tools</w:t>
      </w:r>
      <w:r w:rsidR="0022228B" w:rsidRPr="000D7BAE">
        <w:rPr>
          <w:rFonts w:asciiTheme="minorBidi" w:hAnsiTheme="minorBidi" w:cstheme="minorBidi"/>
          <w:bCs/>
        </w:rPr>
        <w:t xml:space="preserve">, </w:t>
      </w:r>
      <w:r w:rsidR="00B21DB3" w:rsidRPr="000D7BAE">
        <w:rPr>
          <w:rFonts w:asciiTheme="minorBidi" w:hAnsiTheme="minorBidi" w:cstheme="minorBidi"/>
          <w:bCs/>
        </w:rPr>
        <w:t xml:space="preserve">interfaces </w:t>
      </w:r>
      <w:r w:rsidR="0022228B" w:rsidRPr="000D7BAE">
        <w:rPr>
          <w:rFonts w:asciiTheme="minorBidi" w:hAnsiTheme="minorBidi" w:cstheme="minorBidi"/>
          <w:bCs/>
        </w:rPr>
        <w:t xml:space="preserve">and </w:t>
      </w:r>
      <w:r w:rsidR="00B21DB3" w:rsidRPr="000D7BAE">
        <w:rPr>
          <w:rFonts w:asciiTheme="minorBidi" w:hAnsiTheme="minorBidi" w:cstheme="minorBidi"/>
          <w:bCs/>
        </w:rPr>
        <w:t>meeting modalities</w:t>
      </w:r>
      <w:r w:rsidR="0022228B" w:rsidRPr="000D7BAE">
        <w:rPr>
          <w:rFonts w:asciiTheme="minorBidi" w:hAnsiTheme="minorBidi" w:cstheme="minorBidi"/>
          <w:bCs/>
        </w:rPr>
        <w:t xml:space="preserve"> to </w:t>
      </w:r>
      <w:r w:rsidR="00C76377" w:rsidRPr="000D7BAE">
        <w:rPr>
          <w:rFonts w:asciiTheme="minorBidi" w:hAnsiTheme="minorBidi" w:cstheme="minorBidi"/>
        </w:rPr>
        <w:t xml:space="preserve">ensure that the statutory life of the Convention remained uninterrupted: </w:t>
      </w:r>
      <w:r w:rsidR="009B6CBC" w:rsidRPr="000D7BAE">
        <w:rPr>
          <w:rFonts w:asciiTheme="minorBidi" w:hAnsiTheme="minorBidi" w:cstheme="minorBidi"/>
        </w:rPr>
        <w:t xml:space="preserve">ten </w:t>
      </w:r>
      <w:r w:rsidR="00C76377" w:rsidRPr="000D7BAE">
        <w:rPr>
          <w:rFonts w:asciiTheme="minorBidi" w:hAnsiTheme="minorBidi" w:cstheme="minorBidi"/>
        </w:rPr>
        <w:t>meetings were held online. While t</w:t>
      </w:r>
      <w:r w:rsidR="00C76377" w:rsidRPr="000D7BAE">
        <w:rPr>
          <w:rFonts w:asciiTheme="minorBidi" w:hAnsiTheme="minorBidi" w:cstheme="minorBidi"/>
          <w:bCs/>
        </w:rPr>
        <w:t xml:space="preserve">he impacts of the pandemic remain </w:t>
      </w:r>
      <w:r w:rsidR="00894D2C" w:rsidRPr="000D7BAE">
        <w:rPr>
          <w:rFonts w:asciiTheme="minorBidi" w:hAnsiTheme="minorBidi" w:cstheme="minorBidi"/>
          <w:bCs/>
        </w:rPr>
        <w:t xml:space="preserve">extensive </w:t>
      </w:r>
      <w:r w:rsidR="00C76377" w:rsidRPr="000D7BAE">
        <w:rPr>
          <w:rFonts w:asciiTheme="minorBidi" w:hAnsiTheme="minorBidi" w:cstheme="minorBidi"/>
          <w:bCs/>
        </w:rPr>
        <w:t>in many parts of the world</w:t>
      </w:r>
      <w:r w:rsidR="00C76377" w:rsidRPr="000D7BAE">
        <w:rPr>
          <w:rFonts w:asciiTheme="minorBidi" w:hAnsiTheme="minorBidi" w:cstheme="minorBidi"/>
        </w:rPr>
        <w:t xml:space="preserve">, the Secretariat </w:t>
      </w:r>
      <w:r w:rsidR="00C76377" w:rsidRPr="000D7BAE">
        <w:rPr>
          <w:rFonts w:asciiTheme="minorBidi" w:hAnsiTheme="minorBidi" w:cstheme="minorBidi"/>
          <w:bCs/>
        </w:rPr>
        <w:t>made the necessary arrangements to</w:t>
      </w:r>
      <w:r w:rsidR="00C76377" w:rsidRPr="000D7BAE">
        <w:rPr>
          <w:rFonts w:asciiTheme="minorBidi" w:hAnsiTheme="minorBidi" w:cstheme="minorBidi"/>
        </w:rPr>
        <w:t xml:space="preserve"> plan</w:t>
      </w:r>
      <w:r w:rsidR="005F778A" w:rsidRPr="000D7BAE">
        <w:rPr>
          <w:rFonts w:asciiTheme="minorBidi" w:hAnsiTheme="minorBidi" w:cstheme="minorBidi"/>
        </w:rPr>
        <w:t xml:space="preserve"> for</w:t>
      </w:r>
      <w:r w:rsidR="00C76377" w:rsidRPr="000D7BAE">
        <w:rPr>
          <w:rFonts w:asciiTheme="minorBidi" w:hAnsiTheme="minorBidi" w:cstheme="minorBidi"/>
        </w:rPr>
        <w:t xml:space="preserve"> </w:t>
      </w:r>
      <w:r w:rsidR="0022228B" w:rsidRPr="000D7BAE">
        <w:rPr>
          <w:rFonts w:asciiTheme="minorBidi" w:hAnsiTheme="minorBidi" w:cstheme="minorBidi"/>
          <w:bCs/>
        </w:rPr>
        <w:t xml:space="preserve">the </w:t>
      </w:r>
      <w:r w:rsidR="00C76377" w:rsidRPr="000D7BAE">
        <w:rPr>
          <w:rFonts w:asciiTheme="minorBidi" w:hAnsiTheme="minorBidi" w:cstheme="minorBidi"/>
          <w:bCs/>
        </w:rPr>
        <w:t>progressive</w:t>
      </w:r>
      <w:r w:rsidR="0022228B" w:rsidRPr="000D7BAE">
        <w:rPr>
          <w:rFonts w:asciiTheme="minorBidi" w:hAnsiTheme="minorBidi" w:cstheme="minorBidi"/>
          <w:bCs/>
        </w:rPr>
        <w:t xml:space="preserve"> return </w:t>
      </w:r>
      <w:r w:rsidR="00894D2C" w:rsidRPr="000D7BAE">
        <w:rPr>
          <w:rFonts w:asciiTheme="minorBidi" w:hAnsiTheme="minorBidi" w:cstheme="minorBidi"/>
          <w:bCs/>
        </w:rPr>
        <w:t>to</w:t>
      </w:r>
      <w:r w:rsidR="0022228B" w:rsidRPr="000D7BAE">
        <w:rPr>
          <w:rFonts w:asciiTheme="minorBidi" w:hAnsiTheme="minorBidi" w:cstheme="minorBidi"/>
          <w:bCs/>
        </w:rPr>
        <w:t xml:space="preserve"> </w:t>
      </w:r>
      <w:r w:rsidR="0017063D" w:rsidRPr="000D7BAE">
        <w:rPr>
          <w:rFonts w:asciiTheme="minorBidi" w:hAnsiTheme="minorBidi" w:cstheme="minorBidi"/>
          <w:bCs/>
        </w:rPr>
        <w:t>in-person</w:t>
      </w:r>
      <w:r w:rsidR="0027767E" w:rsidRPr="000D7BAE">
        <w:rPr>
          <w:rFonts w:asciiTheme="minorBidi" w:hAnsiTheme="minorBidi" w:cstheme="minorBidi"/>
          <w:bCs/>
          <w:i/>
          <w:iCs/>
        </w:rPr>
        <w:t xml:space="preserve"> </w:t>
      </w:r>
      <w:r w:rsidR="0027767E" w:rsidRPr="000D7BAE">
        <w:rPr>
          <w:rFonts w:asciiTheme="minorBidi" w:hAnsiTheme="minorBidi" w:cstheme="minorBidi"/>
          <w:bCs/>
        </w:rPr>
        <w:t>meetings</w:t>
      </w:r>
      <w:r w:rsidR="009B6CBC" w:rsidRPr="000D7BAE">
        <w:rPr>
          <w:rFonts w:asciiTheme="minorBidi" w:hAnsiTheme="minorBidi" w:cstheme="minorBidi"/>
          <w:bCs/>
        </w:rPr>
        <w:t>;</w:t>
      </w:r>
      <w:r w:rsidR="00AF5F34" w:rsidRPr="000D7BAE">
        <w:rPr>
          <w:rFonts w:asciiTheme="minorBidi" w:hAnsiTheme="minorBidi" w:cstheme="minorBidi"/>
          <w:bCs/>
        </w:rPr>
        <w:t xml:space="preserve"> the ninth session of the General Assembly</w:t>
      </w:r>
      <w:r w:rsidR="009B6CBC" w:rsidRPr="000D7BAE">
        <w:rPr>
          <w:rFonts w:asciiTheme="minorBidi" w:hAnsiTheme="minorBidi" w:cstheme="minorBidi"/>
          <w:bCs/>
        </w:rPr>
        <w:t xml:space="preserve"> took place at </w:t>
      </w:r>
      <w:r w:rsidR="00AF5F34" w:rsidRPr="000D7BAE">
        <w:rPr>
          <w:rFonts w:asciiTheme="minorBidi" w:hAnsiTheme="minorBidi" w:cstheme="minorBidi"/>
          <w:bCs/>
        </w:rPr>
        <w:t>UNESCO Headquarters from 5 to 7 July 2022</w:t>
      </w:r>
      <w:r w:rsidR="00C76377" w:rsidRPr="000D7BAE">
        <w:rPr>
          <w:rFonts w:asciiTheme="minorBidi" w:hAnsiTheme="minorBidi" w:cstheme="minorBidi"/>
          <w:bCs/>
        </w:rPr>
        <w:t>.</w:t>
      </w:r>
    </w:p>
    <w:p w14:paraId="2C39758C" w14:textId="539692D5" w:rsidR="006B4089" w:rsidRPr="000D7BAE" w:rsidRDefault="00F963CF" w:rsidP="00370292">
      <w:pPr>
        <w:pStyle w:val="GAPara"/>
        <w:numPr>
          <w:ilvl w:val="0"/>
          <w:numId w:val="6"/>
        </w:numPr>
        <w:ind w:left="567" w:hanging="567"/>
        <w:jc w:val="both"/>
        <w:rPr>
          <w:rFonts w:asciiTheme="minorBidi" w:hAnsiTheme="minorBidi" w:cstheme="minorBidi"/>
        </w:rPr>
      </w:pPr>
      <w:r w:rsidRPr="000D7BAE">
        <w:rPr>
          <w:rFonts w:asciiTheme="minorBidi" w:hAnsiTheme="minorBidi" w:cstheme="minorBidi"/>
          <w:b/>
          <w:bCs/>
        </w:rPr>
        <w:t>Outcomes of the global reflection on the listing mechanisms:</w:t>
      </w:r>
      <w:r w:rsidRPr="000D7BAE">
        <w:rPr>
          <w:rFonts w:asciiTheme="minorBidi" w:hAnsiTheme="minorBidi" w:cstheme="minorBidi"/>
        </w:rPr>
        <w:t xml:space="preserve"> </w:t>
      </w:r>
      <w:r w:rsidR="009523E0" w:rsidRPr="000D7BAE">
        <w:rPr>
          <w:rFonts w:asciiTheme="minorBidi" w:hAnsiTheme="minorBidi" w:cstheme="minorBidi"/>
        </w:rPr>
        <w:t xml:space="preserve">The reporting period saw the conclusion of the global reflection on the listing mechanisms which was initiated in 2017 by the twelfth session of the </w:t>
      </w:r>
      <w:proofErr w:type="gramStart"/>
      <w:r w:rsidR="009523E0" w:rsidRPr="000D7BAE">
        <w:rPr>
          <w:rFonts w:asciiTheme="minorBidi" w:hAnsiTheme="minorBidi" w:cstheme="minorBidi"/>
        </w:rPr>
        <w:t>Committee, and</w:t>
      </w:r>
      <w:proofErr w:type="gramEnd"/>
      <w:r w:rsidR="009523E0" w:rsidRPr="000D7BAE">
        <w:rPr>
          <w:rFonts w:asciiTheme="minorBidi" w:hAnsiTheme="minorBidi" w:cstheme="minorBidi"/>
        </w:rPr>
        <w:t xml:space="preserve"> supported by Japan.</w:t>
      </w:r>
      <w:r w:rsidR="00C35674" w:rsidRPr="000D7BAE">
        <w:rPr>
          <w:rFonts w:asciiTheme="minorBidi" w:hAnsiTheme="minorBidi" w:cstheme="minorBidi"/>
        </w:rPr>
        <w:t xml:space="preserve"> </w:t>
      </w:r>
      <w:r w:rsidR="0021613F" w:rsidRPr="000D7BAE">
        <w:rPr>
          <w:rFonts w:asciiTheme="minorBidi" w:eastAsia="SimSun" w:hAnsiTheme="minorBidi" w:cstheme="minorBidi"/>
          <w:snapToGrid/>
          <w:color w:val="000000" w:themeColor="text1"/>
          <w:lang w:bidi="en-US"/>
        </w:rPr>
        <w:t>Pursuant</w:t>
      </w:r>
      <w:r w:rsidRPr="000D7BAE">
        <w:rPr>
          <w:rFonts w:asciiTheme="minorBidi" w:eastAsia="SimSun" w:hAnsiTheme="minorBidi" w:cstheme="minorBidi"/>
          <w:snapToGrid/>
          <w:color w:val="000000" w:themeColor="text1"/>
          <w:lang w:bidi="en-US"/>
        </w:rPr>
        <w:t xml:space="preserve"> </w:t>
      </w:r>
      <w:r w:rsidR="0021613F" w:rsidRPr="000D7BAE">
        <w:rPr>
          <w:rFonts w:asciiTheme="minorBidi" w:eastAsia="SimSun" w:hAnsiTheme="minorBidi" w:cstheme="minorBidi"/>
          <w:snapToGrid/>
          <w:color w:val="000000" w:themeColor="text1"/>
          <w:lang w:bidi="en-US"/>
        </w:rPr>
        <w:t xml:space="preserve">to </w:t>
      </w:r>
      <w:r w:rsidRPr="000D7BAE">
        <w:rPr>
          <w:rFonts w:asciiTheme="minorBidi" w:eastAsia="SimSun" w:hAnsiTheme="minorBidi" w:cstheme="minorBidi"/>
          <w:snapToGrid/>
          <w:color w:val="000000" w:themeColor="text1"/>
          <w:lang w:bidi="en-US"/>
        </w:rPr>
        <w:t>the decision by the sixteenth session of the Committee (</w:t>
      </w:r>
      <w:r w:rsidR="009A072A" w:rsidRPr="00E961E4">
        <w:rPr>
          <w:rFonts w:eastAsia="SimSun"/>
        </w:rPr>
        <w:t xml:space="preserve">Decision </w:t>
      </w:r>
      <w:hyperlink r:id="rId17" w:history="1">
        <w:r w:rsidR="009A072A" w:rsidRPr="009A072A">
          <w:rPr>
            <w:rStyle w:val="Hyperlink"/>
            <w:rFonts w:asciiTheme="minorBidi" w:eastAsia="SimSun" w:hAnsiTheme="minorBidi" w:cstheme="minorBidi"/>
            <w:snapToGrid/>
            <w:lang w:bidi="en-US"/>
          </w:rPr>
          <w:t>16.COM 14</w:t>
        </w:r>
      </w:hyperlink>
      <w:r w:rsidRPr="000D7BAE">
        <w:rPr>
          <w:rFonts w:asciiTheme="minorBidi" w:eastAsia="SimSun" w:hAnsiTheme="minorBidi" w:cstheme="minorBidi"/>
          <w:snapToGrid/>
          <w:color w:val="000000" w:themeColor="text1"/>
          <w:lang w:bidi="en-US"/>
        </w:rPr>
        <w:t>)</w:t>
      </w:r>
      <w:r w:rsidR="00C13353" w:rsidRPr="000D7BAE">
        <w:rPr>
          <w:rFonts w:asciiTheme="minorBidi" w:eastAsia="SimSun" w:hAnsiTheme="minorBidi" w:cstheme="minorBidi"/>
          <w:snapToGrid/>
          <w:color w:val="000000" w:themeColor="text1"/>
          <w:lang w:bidi="en-US"/>
        </w:rPr>
        <w:t>,</w:t>
      </w:r>
      <w:r w:rsidRPr="000D7BAE">
        <w:rPr>
          <w:rFonts w:asciiTheme="minorBidi" w:eastAsia="SimSun" w:hAnsiTheme="minorBidi" w:cstheme="minorBidi"/>
          <w:snapToGrid/>
          <w:color w:val="000000" w:themeColor="text1"/>
          <w:lang w:bidi="en-US"/>
        </w:rPr>
        <w:t xml:space="preserve"> </w:t>
      </w:r>
      <w:r w:rsidR="005F778A" w:rsidRPr="000D7BAE">
        <w:rPr>
          <w:rFonts w:asciiTheme="minorBidi" w:eastAsia="SimSun" w:hAnsiTheme="minorBidi" w:cstheme="minorBidi"/>
          <w:snapToGrid/>
          <w:color w:val="000000" w:themeColor="text1"/>
          <w:lang w:bidi="en-US"/>
        </w:rPr>
        <w:t xml:space="preserve">which </w:t>
      </w:r>
      <w:r w:rsidRPr="000D7BAE">
        <w:rPr>
          <w:rFonts w:asciiTheme="minorBidi" w:eastAsia="SimSun" w:hAnsiTheme="minorBidi" w:cstheme="minorBidi"/>
          <w:snapToGrid/>
          <w:color w:val="000000" w:themeColor="text1"/>
          <w:lang w:bidi="en-US"/>
        </w:rPr>
        <w:t>endorse</w:t>
      </w:r>
      <w:r w:rsidR="00C13353" w:rsidRPr="000D7BAE">
        <w:rPr>
          <w:rFonts w:asciiTheme="minorBidi" w:eastAsia="SimSun" w:hAnsiTheme="minorBidi" w:cstheme="minorBidi"/>
          <w:snapToGrid/>
          <w:color w:val="000000" w:themeColor="text1"/>
          <w:lang w:bidi="en-US"/>
        </w:rPr>
        <w:t>d</w:t>
      </w:r>
      <w:r w:rsidRPr="000D7BAE">
        <w:rPr>
          <w:rFonts w:asciiTheme="minorBidi" w:eastAsia="SimSun" w:hAnsiTheme="minorBidi" w:cstheme="minorBidi"/>
          <w:snapToGrid/>
          <w:color w:val="000000" w:themeColor="text1"/>
          <w:lang w:bidi="en-US"/>
        </w:rPr>
        <w:t xml:space="preserve"> the recommendations </w:t>
      </w:r>
      <w:r w:rsidR="0021613F" w:rsidRPr="000D7BAE">
        <w:rPr>
          <w:rFonts w:asciiTheme="minorBidi" w:eastAsia="SimSun" w:hAnsiTheme="minorBidi" w:cstheme="minorBidi"/>
          <w:snapToGrid/>
          <w:color w:val="000000" w:themeColor="text1"/>
          <w:lang w:bidi="en-US"/>
        </w:rPr>
        <w:t xml:space="preserve">made by the Open-ended </w:t>
      </w:r>
      <w:r w:rsidRPr="000D7BAE">
        <w:rPr>
          <w:rFonts w:asciiTheme="minorBidi" w:eastAsia="SimSun" w:hAnsiTheme="minorBidi" w:cstheme="minorBidi"/>
          <w:snapToGrid/>
          <w:color w:val="000000" w:themeColor="text1"/>
          <w:lang w:bidi="en-US"/>
        </w:rPr>
        <w:t>working group</w:t>
      </w:r>
      <w:r w:rsidR="0021613F" w:rsidRPr="000D7BAE">
        <w:rPr>
          <w:rFonts w:asciiTheme="minorBidi" w:eastAsia="SimSun" w:hAnsiTheme="minorBidi" w:cstheme="minorBidi"/>
          <w:snapToGrid/>
          <w:color w:val="000000" w:themeColor="text1"/>
          <w:lang w:bidi="en-US"/>
        </w:rPr>
        <w:t xml:space="preserve"> in 2021 (Part I and Part II) and extend</w:t>
      </w:r>
      <w:r w:rsidR="00C13353" w:rsidRPr="000D7BAE">
        <w:rPr>
          <w:rFonts w:asciiTheme="minorBidi" w:eastAsia="SimSun" w:hAnsiTheme="minorBidi" w:cstheme="minorBidi"/>
          <w:snapToGrid/>
          <w:color w:val="000000" w:themeColor="text1"/>
          <w:lang w:bidi="en-US"/>
        </w:rPr>
        <w:t>ed</w:t>
      </w:r>
      <w:r w:rsidRPr="000D7BAE">
        <w:rPr>
          <w:rFonts w:asciiTheme="minorBidi" w:eastAsia="SimSun" w:hAnsiTheme="minorBidi" w:cstheme="minorBidi"/>
          <w:snapToGrid/>
          <w:color w:val="000000" w:themeColor="text1"/>
          <w:lang w:bidi="en-US"/>
        </w:rPr>
        <w:t xml:space="preserve"> its mandate</w:t>
      </w:r>
      <w:r w:rsidR="0021613F" w:rsidRPr="000D7BAE">
        <w:rPr>
          <w:rFonts w:asciiTheme="minorBidi" w:eastAsia="SimSun" w:hAnsiTheme="minorBidi" w:cstheme="minorBidi"/>
          <w:snapToGrid/>
          <w:color w:val="000000" w:themeColor="text1"/>
          <w:lang w:bidi="en-US"/>
        </w:rPr>
        <w:t xml:space="preserve"> to conclude on additional issues</w:t>
      </w:r>
      <w:r w:rsidRPr="000D7BAE">
        <w:rPr>
          <w:rFonts w:asciiTheme="minorBidi" w:eastAsia="SimSun" w:hAnsiTheme="minorBidi" w:cstheme="minorBidi"/>
          <w:snapToGrid/>
          <w:color w:val="000000" w:themeColor="text1"/>
          <w:lang w:bidi="en-US"/>
        </w:rPr>
        <w:t xml:space="preserve">, a Part III meeting </w:t>
      </w:r>
      <w:r w:rsidR="0021613F" w:rsidRPr="000D7BAE">
        <w:rPr>
          <w:rFonts w:asciiTheme="minorBidi" w:eastAsia="SimSun" w:hAnsiTheme="minorBidi" w:cstheme="minorBidi"/>
          <w:snapToGrid/>
          <w:color w:val="000000" w:themeColor="text1"/>
          <w:lang w:bidi="en-US"/>
        </w:rPr>
        <w:t>of the working group</w:t>
      </w:r>
      <w:r w:rsidR="005F778A" w:rsidRPr="000D7BAE">
        <w:rPr>
          <w:rFonts w:asciiTheme="minorBidi" w:eastAsia="SimSun" w:hAnsiTheme="minorBidi" w:cstheme="minorBidi"/>
          <w:snapToGrid/>
          <w:color w:val="000000" w:themeColor="text1"/>
          <w:lang w:bidi="en-US"/>
        </w:rPr>
        <w:t xml:space="preserve"> was organized</w:t>
      </w:r>
      <w:r w:rsidR="00C35674" w:rsidRPr="000D7BAE">
        <w:rPr>
          <w:rFonts w:asciiTheme="minorBidi" w:eastAsia="SimSun" w:hAnsiTheme="minorBidi" w:cstheme="minorBidi"/>
          <w:snapToGrid/>
          <w:color w:val="000000" w:themeColor="text1"/>
          <w:lang w:bidi="en-US"/>
        </w:rPr>
        <w:t xml:space="preserve"> (Online, 25 and 26 April 2022)</w:t>
      </w:r>
      <w:r w:rsidRPr="000D7BAE">
        <w:rPr>
          <w:rFonts w:asciiTheme="minorBidi" w:eastAsia="SimSun" w:hAnsiTheme="minorBidi" w:cstheme="minorBidi"/>
          <w:snapToGrid/>
          <w:color w:val="000000" w:themeColor="text1"/>
          <w:lang w:bidi="en-US"/>
        </w:rPr>
        <w:t>.</w:t>
      </w:r>
      <w:r w:rsidR="0021613F" w:rsidRPr="000D7BAE">
        <w:rPr>
          <w:rFonts w:asciiTheme="minorBidi" w:eastAsia="SimSun" w:hAnsiTheme="minorBidi" w:cstheme="minorBidi"/>
          <w:snapToGrid/>
          <w:color w:val="000000" w:themeColor="text1"/>
          <w:lang w:bidi="en-US"/>
        </w:rPr>
        <w:t xml:space="preserve"> </w:t>
      </w:r>
      <w:r w:rsidRPr="000D7BAE">
        <w:rPr>
          <w:rFonts w:asciiTheme="minorBidi" w:hAnsiTheme="minorBidi" w:cstheme="minorBidi"/>
        </w:rPr>
        <w:t xml:space="preserve">The </w:t>
      </w:r>
      <w:r w:rsidR="00BE028C" w:rsidRPr="000D7BAE">
        <w:rPr>
          <w:rFonts w:asciiTheme="minorBidi" w:hAnsiTheme="minorBidi" w:cstheme="minorBidi"/>
        </w:rPr>
        <w:t xml:space="preserve">final </w:t>
      </w:r>
      <w:r w:rsidRPr="000D7BAE">
        <w:rPr>
          <w:rFonts w:asciiTheme="minorBidi" w:hAnsiTheme="minorBidi" w:cstheme="minorBidi"/>
        </w:rPr>
        <w:t xml:space="preserve">recommendations of the Part III meeting </w:t>
      </w:r>
      <w:r w:rsidR="0021613F" w:rsidRPr="000D7BAE">
        <w:rPr>
          <w:rFonts w:asciiTheme="minorBidi" w:hAnsiTheme="minorBidi" w:cstheme="minorBidi"/>
        </w:rPr>
        <w:t xml:space="preserve">addressed issues related to the annual number of files, the composition and </w:t>
      </w:r>
      <w:r w:rsidR="0021613F" w:rsidRPr="000D7BAE">
        <w:rPr>
          <w:rFonts w:asciiTheme="minorBidi" w:hAnsiTheme="minorBidi" w:cstheme="minorBidi"/>
          <w:bCs/>
        </w:rPr>
        <w:t>working</w:t>
      </w:r>
      <w:r w:rsidR="0021613F" w:rsidRPr="000D7BAE">
        <w:rPr>
          <w:rFonts w:asciiTheme="minorBidi" w:hAnsiTheme="minorBidi" w:cstheme="minorBidi"/>
        </w:rPr>
        <w:t xml:space="preserve"> methods of the Evaluation Body and other technical issues</w:t>
      </w:r>
      <w:r w:rsidR="006A1474" w:rsidRPr="000D7BAE">
        <w:rPr>
          <w:rFonts w:asciiTheme="minorBidi" w:hAnsiTheme="minorBidi" w:cstheme="minorBidi"/>
        </w:rPr>
        <w:t>. The</w:t>
      </w:r>
      <w:r w:rsidR="00BE028C" w:rsidRPr="000D7BAE">
        <w:rPr>
          <w:rFonts w:asciiTheme="minorBidi" w:hAnsiTheme="minorBidi" w:cstheme="minorBidi"/>
        </w:rPr>
        <w:t xml:space="preserve"> recommendations </w:t>
      </w:r>
      <w:r w:rsidR="0021613F" w:rsidRPr="000D7BAE">
        <w:rPr>
          <w:rFonts w:asciiTheme="minorBidi" w:hAnsiTheme="minorBidi" w:cstheme="minorBidi"/>
        </w:rPr>
        <w:t>w</w:t>
      </w:r>
      <w:r w:rsidRPr="000D7BAE">
        <w:rPr>
          <w:rFonts w:asciiTheme="minorBidi" w:hAnsiTheme="minorBidi" w:cstheme="minorBidi"/>
        </w:rPr>
        <w:t xml:space="preserve">ere presented in the form of </w:t>
      </w:r>
      <w:r w:rsidR="00BE028C" w:rsidRPr="000D7BAE">
        <w:rPr>
          <w:rFonts w:asciiTheme="minorBidi" w:hAnsiTheme="minorBidi" w:cstheme="minorBidi"/>
        </w:rPr>
        <w:t xml:space="preserve">draft revisions </w:t>
      </w:r>
      <w:r w:rsidRPr="000D7BAE">
        <w:rPr>
          <w:rFonts w:asciiTheme="minorBidi" w:hAnsiTheme="minorBidi" w:cstheme="minorBidi"/>
        </w:rPr>
        <w:t>to the Operational Directives to the fifth extraordinary session of the Committee</w:t>
      </w:r>
      <w:r w:rsidR="00C35674" w:rsidRPr="000D7BAE">
        <w:rPr>
          <w:rFonts w:asciiTheme="minorBidi" w:hAnsiTheme="minorBidi" w:cstheme="minorBidi"/>
        </w:rPr>
        <w:t xml:space="preserve"> (Online, 1 July 2022)</w:t>
      </w:r>
      <w:r w:rsidR="002F61A9" w:rsidRPr="000D7BAE">
        <w:rPr>
          <w:rFonts w:asciiTheme="minorBidi" w:hAnsiTheme="minorBidi" w:cstheme="minorBidi"/>
        </w:rPr>
        <w:t>, wh</w:t>
      </w:r>
      <w:r w:rsidR="00C35674" w:rsidRPr="000D7BAE">
        <w:rPr>
          <w:rFonts w:asciiTheme="minorBidi" w:hAnsiTheme="minorBidi" w:cstheme="minorBidi"/>
        </w:rPr>
        <w:t>ich</w:t>
      </w:r>
      <w:r w:rsidR="002F61A9" w:rsidRPr="000D7BAE">
        <w:rPr>
          <w:rFonts w:asciiTheme="minorBidi" w:hAnsiTheme="minorBidi" w:cstheme="minorBidi"/>
        </w:rPr>
        <w:t xml:space="preserve"> </w:t>
      </w:r>
      <w:r w:rsidR="00BE028C" w:rsidRPr="000D7BAE">
        <w:rPr>
          <w:rFonts w:asciiTheme="minorBidi" w:hAnsiTheme="minorBidi" w:cstheme="minorBidi"/>
        </w:rPr>
        <w:t xml:space="preserve">endorsed them and </w:t>
      </w:r>
      <w:r w:rsidR="002F61A9" w:rsidRPr="000D7BAE">
        <w:rPr>
          <w:rFonts w:asciiTheme="minorBidi" w:hAnsiTheme="minorBidi" w:cstheme="minorBidi"/>
        </w:rPr>
        <w:t>recommended</w:t>
      </w:r>
      <w:r w:rsidR="0021613F" w:rsidRPr="000D7BAE">
        <w:rPr>
          <w:rFonts w:asciiTheme="minorBidi" w:hAnsiTheme="minorBidi" w:cstheme="minorBidi"/>
        </w:rPr>
        <w:t xml:space="preserve"> </w:t>
      </w:r>
      <w:r w:rsidRPr="000D7BAE">
        <w:rPr>
          <w:rFonts w:asciiTheme="minorBidi" w:hAnsiTheme="minorBidi" w:cstheme="minorBidi"/>
        </w:rPr>
        <w:t xml:space="preserve">that the General Assembly revise the Operational Directives on the basis of and reflecting the spirit of </w:t>
      </w:r>
      <w:r w:rsidR="005F778A" w:rsidRPr="000D7BAE">
        <w:rPr>
          <w:rFonts w:asciiTheme="minorBidi" w:hAnsiTheme="minorBidi" w:cstheme="minorBidi"/>
        </w:rPr>
        <w:t xml:space="preserve">the </w:t>
      </w:r>
      <w:r w:rsidR="0021613F" w:rsidRPr="000D7BAE">
        <w:rPr>
          <w:rFonts w:asciiTheme="minorBidi" w:hAnsiTheme="minorBidi" w:cstheme="minorBidi"/>
        </w:rPr>
        <w:t>working group</w:t>
      </w:r>
      <w:r w:rsidR="00BE028C" w:rsidRPr="000D7BAE">
        <w:rPr>
          <w:rFonts w:asciiTheme="minorBidi" w:hAnsiTheme="minorBidi" w:cstheme="minorBidi"/>
        </w:rPr>
        <w:t xml:space="preserve"> </w:t>
      </w:r>
      <w:r w:rsidRPr="000D7BAE">
        <w:rPr>
          <w:rFonts w:asciiTheme="minorBidi" w:hAnsiTheme="minorBidi" w:cstheme="minorBidi"/>
        </w:rPr>
        <w:t>(</w:t>
      </w:r>
      <w:hyperlink r:id="rId18" w:history="1">
        <w:r w:rsidRPr="000D7BAE">
          <w:rPr>
            <w:rStyle w:val="Hyperlink"/>
            <w:rFonts w:asciiTheme="minorBidi" w:hAnsiTheme="minorBidi" w:cstheme="minorBidi"/>
            <w:color w:val="auto"/>
            <w:u w:val="none"/>
          </w:rPr>
          <w:t xml:space="preserve">Decision </w:t>
        </w:r>
        <w:r w:rsidRPr="000D7BAE">
          <w:rPr>
            <w:rStyle w:val="Hyperlink"/>
            <w:rFonts w:asciiTheme="minorBidi" w:hAnsiTheme="minorBidi" w:cstheme="minorBidi"/>
          </w:rPr>
          <w:t>5.EXT.COM</w:t>
        </w:r>
        <w:r w:rsidR="00224989" w:rsidRPr="000D7BAE">
          <w:rPr>
            <w:rStyle w:val="Hyperlink"/>
            <w:rFonts w:asciiTheme="minorBidi" w:hAnsiTheme="minorBidi" w:cstheme="minorBidi"/>
          </w:rPr>
          <w:t> </w:t>
        </w:r>
        <w:r w:rsidRPr="000D7BAE">
          <w:rPr>
            <w:rStyle w:val="Hyperlink"/>
            <w:rFonts w:asciiTheme="minorBidi" w:hAnsiTheme="minorBidi" w:cstheme="minorBidi"/>
          </w:rPr>
          <w:t>4</w:t>
        </w:r>
      </w:hyperlink>
      <w:r w:rsidRPr="000D7BAE">
        <w:rPr>
          <w:rFonts w:asciiTheme="minorBidi" w:hAnsiTheme="minorBidi" w:cstheme="minorBidi"/>
        </w:rPr>
        <w:t>)</w:t>
      </w:r>
      <w:r w:rsidR="00BE028C" w:rsidRPr="000D7BAE">
        <w:rPr>
          <w:rFonts w:asciiTheme="minorBidi" w:hAnsiTheme="minorBidi" w:cstheme="minorBidi"/>
        </w:rPr>
        <w:t>. T</w:t>
      </w:r>
      <w:r w:rsidR="0021613F" w:rsidRPr="000D7BAE">
        <w:rPr>
          <w:rFonts w:asciiTheme="minorBidi" w:hAnsiTheme="minorBidi" w:cstheme="minorBidi"/>
        </w:rPr>
        <w:t xml:space="preserve">he </w:t>
      </w:r>
      <w:r w:rsidR="00C35674" w:rsidRPr="000D7BAE">
        <w:rPr>
          <w:rFonts w:asciiTheme="minorBidi" w:hAnsiTheme="minorBidi" w:cstheme="minorBidi"/>
        </w:rPr>
        <w:t xml:space="preserve">ninth session of the </w:t>
      </w:r>
      <w:r w:rsidR="0021613F" w:rsidRPr="000D7BAE">
        <w:rPr>
          <w:rFonts w:asciiTheme="minorBidi" w:hAnsiTheme="minorBidi" w:cstheme="minorBidi"/>
        </w:rPr>
        <w:t>General Assembly approve</w:t>
      </w:r>
      <w:r w:rsidR="00C35674" w:rsidRPr="000D7BAE">
        <w:rPr>
          <w:rFonts w:asciiTheme="minorBidi" w:hAnsiTheme="minorBidi" w:cstheme="minorBidi"/>
        </w:rPr>
        <w:t>d</w:t>
      </w:r>
      <w:r w:rsidR="0021613F" w:rsidRPr="000D7BAE">
        <w:rPr>
          <w:rFonts w:asciiTheme="minorBidi" w:hAnsiTheme="minorBidi" w:cstheme="minorBidi"/>
        </w:rPr>
        <w:t xml:space="preserve"> the revisions to the Operational Directives</w:t>
      </w:r>
      <w:r w:rsidR="00224989" w:rsidRPr="000D7BAE">
        <w:rPr>
          <w:rFonts w:asciiTheme="minorBidi" w:hAnsiTheme="minorBidi" w:cstheme="minorBidi"/>
        </w:rPr>
        <w:t xml:space="preserve"> (Resolution</w:t>
      </w:r>
      <w:hyperlink r:id="rId19" w:history="1">
        <w:r w:rsidR="0021613F" w:rsidRPr="000D7BAE">
          <w:rPr>
            <w:rStyle w:val="Hyperlink"/>
            <w:rFonts w:asciiTheme="minorBidi" w:hAnsiTheme="minorBidi" w:cstheme="minorBidi"/>
            <w:color w:val="auto"/>
            <w:u w:val="none"/>
          </w:rPr>
          <w:t xml:space="preserve"> </w:t>
        </w:r>
        <w:r w:rsidR="0021613F" w:rsidRPr="000D7BAE">
          <w:rPr>
            <w:rStyle w:val="Hyperlink"/>
            <w:rFonts w:asciiTheme="minorBidi" w:hAnsiTheme="minorBidi" w:cstheme="minorBidi"/>
          </w:rPr>
          <w:t>9.GA</w:t>
        </w:r>
        <w:r w:rsidR="00224989" w:rsidRPr="000D7BAE">
          <w:rPr>
            <w:rStyle w:val="Hyperlink"/>
            <w:rFonts w:asciiTheme="minorBidi" w:hAnsiTheme="minorBidi" w:cstheme="minorBidi"/>
          </w:rPr>
          <w:t> </w:t>
        </w:r>
        <w:r w:rsidR="0021613F" w:rsidRPr="000D7BAE">
          <w:rPr>
            <w:rStyle w:val="Hyperlink"/>
            <w:rFonts w:asciiTheme="minorBidi" w:hAnsiTheme="minorBidi" w:cstheme="minorBidi"/>
          </w:rPr>
          <w:t>9</w:t>
        </w:r>
      </w:hyperlink>
      <w:r w:rsidR="0021613F" w:rsidRPr="000D7BAE">
        <w:rPr>
          <w:rFonts w:asciiTheme="minorBidi" w:hAnsiTheme="minorBidi" w:cstheme="minorBidi"/>
        </w:rPr>
        <w:t>).</w:t>
      </w:r>
    </w:p>
    <w:p w14:paraId="155ED0B8" w14:textId="628DCE9F" w:rsidR="00812EC7" w:rsidRPr="00A4713D" w:rsidRDefault="00C071DF" w:rsidP="00E961E4">
      <w:pPr>
        <w:pStyle w:val="GAPara"/>
        <w:keepLines/>
        <w:numPr>
          <w:ilvl w:val="0"/>
          <w:numId w:val="6"/>
        </w:numPr>
        <w:ind w:left="567" w:hanging="567"/>
        <w:jc w:val="both"/>
        <w:rPr>
          <w:rFonts w:asciiTheme="minorBidi" w:hAnsiTheme="minorBidi" w:cstheme="minorBidi"/>
        </w:rPr>
      </w:pPr>
      <w:r w:rsidRPr="000D7BAE">
        <w:rPr>
          <w:rFonts w:asciiTheme="minorBidi" w:hAnsiTheme="minorBidi" w:cstheme="minorBidi"/>
        </w:rPr>
        <w:lastRenderedPageBreak/>
        <w:t>The outcomes of the global reflection constitute</w:t>
      </w:r>
      <w:r w:rsidR="00E906FD" w:rsidRPr="000D7BAE">
        <w:rPr>
          <w:rFonts w:asciiTheme="minorBidi" w:hAnsiTheme="minorBidi" w:cstheme="minorBidi"/>
        </w:rPr>
        <w:t>d</w:t>
      </w:r>
      <w:r w:rsidRPr="000D7BAE">
        <w:rPr>
          <w:rFonts w:asciiTheme="minorBidi" w:hAnsiTheme="minorBidi" w:cstheme="minorBidi"/>
        </w:rPr>
        <w:t xml:space="preserve"> a landmark for the Convention, reinforcing the credibility of the listing mechanisms while underlining the continued importance of community participation throughout existing and new </w:t>
      </w:r>
      <w:r w:rsidR="00E906FD" w:rsidRPr="000D7BAE">
        <w:rPr>
          <w:rFonts w:asciiTheme="minorBidi" w:hAnsiTheme="minorBidi" w:cstheme="minorBidi"/>
        </w:rPr>
        <w:t>processes</w:t>
      </w:r>
      <w:r w:rsidR="00E9166E" w:rsidRPr="000D7BAE">
        <w:rPr>
          <w:rFonts w:asciiTheme="minorBidi" w:hAnsiTheme="minorBidi" w:cstheme="minorBidi"/>
        </w:rPr>
        <w:t>. T</w:t>
      </w:r>
      <w:r w:rsidRPr="000D7BAE">
        <w:rPr>
          <w:rFonts w:asciiTheme="minorBidi" w:hAnsiTheme="minorBidi" w:cstheme="minorBidi"/>
        </w:rPr>
        <w:t xml:space="preserve">he amended Operational Directives consequently </w:t>
      </w:r>
      <w:r w:rsidR="00E906FD" w:rsidRPr="000D7BAE">
        <w:rPr>
          <w:rFonts w:asciiTheme="minorBidi" w:hAnsiTheme="minorBidi" w:cstheme="minorBidi"/>
        </w:rPr>
        <w:t>reflect new procedures</w:t>
      </w:r>
      <w:r w:rsidR="00E9166E" w:rsidRPr="000D7BAE">
        <w:rPr>
          <w:rFonts w:asciiTheme="minorBidi" w:hAnsiTheme="minorBidi" w:cstheme="minorBidi"/>
        </w:rPr>
        <w:t xml:space="preserve">, including for </w:t>
      </w:r>
      <w:r w:rsidR="005F778A" w:rsidRPr="000D7BAE">
        <w:rPr>
          <w:rFonts w:asciiTheme="minorBidi" w:hAnsiTheme="minorBidi" w:cstheme="minorBidi"/>
        </w:rPr>
        <w:t xml:space="preserve">the </w:t>
      </w:r>
      <w:r w:rsidR="00E906FD" w:rsidRPr="000D7BAE">
        <w:rPr>
          <w:rFonts w:asciiTheme="minorBidi" w:hAnsiTheme="minorBidi" w:cstheme="minorBidi"/>
        </w:rPr>
        <w:t xml:space="preserve">transfer of </w:t>
      </w:r>
      <w:r w:rsidR="00A27125" w:rsidRPr="000D7BAE">
        <w:rPr>
          <w:rFonts w:asciiTheme="minorBidi" w:hAnsiTheme="minorBidi" w:cstheme="minorBidi"/>
        </w:rPr>
        <w:t xml:space="preserve">inscribed </w:t>
      </w:r>
      <w:r w:rsidR="00E906FD" w:rsidRPr="000D7BAE">
        <w:rPr>
          <w:rFonts w:asciiTheme="minorBidi" w:hAnsiTheme="minorBidi" w:cstheme="minorBidi"/>
        </w:rPr>
        <w:t xml:space="preserve">elements between the Lists, </w:t>
      </w:r>
      <w:r w:rsidR="005F778A" w:rsidRPr="000D7BAE">
        <w:rPr>
          <w:rFonts w:asciiTheme="minorBidi" w:hAnsiTheme="minorBidi" w:cstheme="minorBidi"/>
        </w:rPr>
        <w:t xml:space="preserve">the </w:t>
      </w:r>
      <w:r w:rsidR="00E906FD" w:rsidRPr="000D7BAE">
        <w:rPr>
          <w:rFonts w:asciiTheme="minorBidi" w:hAnsiTheme="minorBidi" w:cstheme="minorBidi"/>
        </w:rPr>
        <w:t xml:space="preserve">inscription of elements on an extended or reduced basis, </w:t>
      </w:r>
      <w:r w:rsidR="005F778A" w:rsidRPr="000D7BAE">
        <w:rPr>
          <w:rFonts w:asciiTheme="minorBidi" w:hAnsiTheme="minorBidi" w:cstheme="minorBidi"/>
        </w:rPr>
        <w:t xml:space="preserve">the </w:t>
      </w:r>
      <w:r w:rsidR="00E906FD" w:rsidRPr="000D7BAE">
        <w:rPr>
          <w:rFonts w:asciiTheme="minorBidi" w:hAnsiTheme="minorBidi" w:cstheme="minorBidi"/>
        </w:rPr>
        <w:t xml:space="preserve">removal </w:t>
      </w:r>
      <w:r w:rsidR="00D84360" w:rsidRPr="000D7BAE">
        <w:rPr>
          <w:rFonts w:asciiTheme="minorBidi" w:hAnsiTheme="minorBidi" w:cstheme="minorBidi"/>
        </w:rPr>
        <w:t xml:space="preserve">of </w:t>
      </w:r>
      <w:r w:rsidR="00E906FD" w:rsidRPr="000D7BAE">
        <w:rPr>
          <w:rFonts w:asciiTheme="minorBidi" w:hAnsiTheme="minorBidi" w:cstheme="minorBidi"/>
        </w:rPr>
        <w:t>element</w:t>
      </w:r>
      <w:r w:rsidR="00D84360" w:rsidRPr="000D7BAE">
        <w:rPr>
          <w:rFonts w:asciiTheme="minorBidi" w:hAnsiTheme="minorBidi" w:cstheme="minorBidi"/>
        </w:rPr>
        <w:t>s</w:t>
      </w:r>
      <w:r w:rsidR="00E906FD" w:rsidRPr="000D7BAE">
        <w:rPr>
          <w:rFonts w:asciiTheme="minorBidi" w:hAnsiTheme="minorBidi" w:cstheme="minorBidi"/>
        </w:rPr>
        <w:t xml:space="preserve">, </w:t>
      </w:r>
      <w:r w:rsidR="005F778A" w:rsidRPr="000D7BAE">
        <w:rPr>
          <w:rFonts w:asciiTheme="minorBidi" w:hAnsiTheme="minorBidi" w:cstheme="minorBidi"/>
        </w:rPr>
        <w:t xml:space="preserve">and the </w:t>
      </w:r>
      <w:r w:rsidR="00E906FD" w:rsidRPr="000D7BAE">
        <w:rPr>
          <w:rFonts w:asciiTheme="minorBidi" w:hAnsiTheme="minorBidi" w:cstheme="minorBidi"/>
        </w:rPr>
        <w:t>establishment of a follow-up mechanism for inscribed elements</w:t>
      </w:r>
      <w:r w:rsidR="00D73800" w:rsidRPr="000D7BAE">
        <w:rPr>
          <w:rFonts w:asciiTheme="minorBidi" w:hAnsiTheme="minorBidi" w:cstheme="minorBidi"/>
        </w:rPr>
        <w:t>, amongst others</w:t>
      </w:r>
      <w:r w:rsidR="00E906FD" w:rsidRPr="000D7BAE">
        <w:rPr>
          <w:rFonts w:asciiTheme="minorBidi" w:hAnsiTheme="minorBidi" w:cstheme="minorBidi"/>
        </w:rPr>
        <w:t>.</w:t>
      </w:r>
      <w:r w:rsidR="00B44794" w:rsidRPr="000D7BAE">
        <w:rPr>
          <w:rFonts w:asciiTheme="minorBidi" w:hAnsiTheme="minorBidi" w:cstheme="minorBidi"/>
        </w:rPr>
        <w:t xml:space="preserve"> </w:t>
      </w:r>
      <w:r w:rsidR="008C0825" w:rsidRPr="000D7BAE">
        <w:rPr>
          <w:rFonts w:asciiTheme="minorBidi" w:hAnsiTheme="minorBidi" w:cstheme="minorBidi"/>
        </w:rPr>
        <w:t xml:space="preserve">The completion of the global reflection requires the revision and development of new forms to reflect the latest amendments to the Operational Directives – </w:t>
      </w:r>
      <w:r w:rsidR="003E1EFF" w:rsidRPr="000D7BAE">
        <w:rPr>
          <w:rFonts w:asciiTheme="minorBidi" w:hAnsiTheme="minorBidi" w:cstheme="minorBidi"/>
        </w:rPr>
        <w:t xml:space="preserve">all of the </w:t>
      </w:r>
      <w:r w:rsidR="008C0825" w:rsidRPr="000D7BAE">
        <w:rPr>
          <w:rFonts w:asciiTheme="minorBidi" w:hAnsiTheme="minorBidi" w:cstheme="minorBidi"/>
        </w:rPr>
        <w:t xml:space="preserve">new Forms will be made available </w:t>
      </w:r>
      <w:r w:rsidR="003E1EFF" w:rsidRPr="000D7BAE">
        <w:rPr>
          <w:rFonts w:asciiTheme="minorBidi" w:hAnsiTheme="minorBidi" w:cstheme="minorBidi"/>
        </w:rPr>
        <w:t xml:space="preserve">as soon as they are ready in both working languages, and at the latest </w:t>
      </w:r>
      <w:r w:rsidR="008C0825" w:rsidRPr="000D7BAE">
        <w:rPr>
          <w:rFonts w:asciiTheme="minorBidi" w:hAnsiTheme="minorBidi" w:cstheme="minorBidi"/>
        </w:rPr>
        <w:t>before the end of 2022</w:t>
      </w:r>
      <w:r w:rsidR="00245277" w:rsidRPr="000D7BAE">
        <w:rPr>
          <w:rFonts w:asciiTheme="minorBidi" w:hAnsiTheme="minorBidi" w:cstheme="minorBidi"/>
        </w:rPr>
        <w:t>.</w:t>
      </w:r>
      <w:r w:rsidR="00B44794" w:rsidRPr="000D7BAE">
        <w:rPr>
          <w:rFonts w:asciiTheme="minorBidi" w:hAnsiTheme="minorBidi" w:cstheme="minorBidi"/>
        </w:rPr>
        <w:t xml:space="preserve"> </w:t>
      </w:r>
      <w:r w:rsidR="00E906FD" w:rsidRPr="000D7BAE">
        <w:rPr>
          <w:rFonts w:asciiTheme="minorBidi" w:hAnsiTheme="minorBidi" w:cstheme="minorBidi"/>
        </w:rPr>
        <w:t xml:space="preserve">Furthermore, the reflection </w:t>
      </w:r>
      <w:r w:rsidR="00812EC7" w:rsidRPr="000D7BAE">
        <w:rPr>
          <w:rFonts w:asciiTheme="minorBidi" w:hAnsiTheme="minorBidi" w:cstheme="minorBidi"/>
        </w:rPr>
        <w:t>gave rise to a new</w:t>
      </w:r>
      <w:r w:rsidR="00E906FD" w:rsidRPr="000D7BAE">
        <w:rPr>
          <w:rFonts w:asciiTheme="minorBidi" w:hAnsiTheme="minorBidi" w:cstheme="minorBidi"/>
        </w:rPr>
        <w:t xml:space="preserve"> line of reflection on</w:t>
      </w:r>
      <w:r w:rsidR="00812EC7" w:rsidRPr="000D7BAE">
        <w:rPr>
          <w:rFonts w:asciiTheme="minorBidi" w:hAnsiTheme="minorBidi" w:cstheme="minorBidi"/>
        </w:rPr>
        <w:t xml:space="preserve"> a broader implementation of Article 18 of the Convention</w:t>
      </w:r>
      <w:r w:rsidR="00E9166E" w:rsidRPr="000D7BAE">
        <w:rPr>
          <w:rFonts w:asciiTheme="minorBidi" w:hAnsiTheme="minorBidi" w:cstheme="minorBidi"/>
        </w:rPr>
        <w:t>,</w:t>
      </w:r>
      <w:r w:rsidR="00812EC7" w:rsidRPr="000D7BAE">
        <w:rPr>
          <w:rFonts w:asciiTheme="minorBidi" w:hAnsiTheme="minorBidi" w:cstheme="minorBidi"/>
        </w:rPr>
        <w:t xml:space="preserve"> </w:t>
      </w:r>
      <w:r w:rsidR="005F778A" w:rsidRPr="000D7BAE">
        <w:rPr>
          <w:rFonts w:asciiTheme="minorBidi" w:hAnsiTheme="minorBidi" w:cstheme="minorBidi"/>
        </w:rPr>
        <w:t>with financial</w:t>
      </w:r>
      <w:r w:rsidR="00D41BE3" w:rsidRPr="000D7BAE">
        <w:rPr>
          <w:rFonts w:asciiTheme="minorBidi" w:hAnsiTheme="minorBidi" w:cstheme="minorBidi"/>
        </w:rPr>
        <w:t xml:space="preserve"> </w:t>
      </w:r>
      <w:r w:rsidR="00812EC7" w:rsidRPr="000D7BAE">
        <w:rPr>
          <w:rFonts w:asciiTheme="minorBidi" w:hAnsiTheme="minorBidi" w:cstheme="minorBidi"/>
        </w:rPr>
        <w:t xml:space="preserve">support </w:t>
      </w:r>
      <w:r w:rsidR="005F778A" w:rsidRPr="000D7BAE">
        <w:rPr>
          <w:rFonts w:asciiTheme="minorBidi" w:hAnsiTheme="minorBidi" w:cstheme="minorBidi"/>
        </w:rPr>
        <w:t xml:space="preserve">from </w:t>
      </w:r>
      <w:r w:rsidR="00812EC7" w:rsidRPr="000D7BAE">
        <w:rPr>
          <w:rFonts w:asciiTheme="minorBidi" w:hAnsiTheme="minorBidi" w:cstheme="minorBidi"/>
        </w:rPr>
        <w:t>Sweden</w:t>
      </w:r>
      <w:r w:rsidR="00D135CA" w:rsidRPr="000D7BAE">
        <w:rPr>
          <w:rFonts w:asciiTheme="minorBidi" w:hAnsiTheme="minorBidi" w:cstheme="minorBidi"/>
        </w:rPr>
        <w:t xml:space="preserve">. An update </w:t>
      </w:r>
      <w:r w:rsidR="005F778A" w:rsidRPr="000D7BAE">
        <w:rPr>
          <w:rFonts w:asciiTheme="minorBidi" w:hAnsiTheme="minorBidi" w:cstheme="minorBidi"/>
        </w:rPr>
        <w:t xml:space="preserve">on </w:t>
      </w:r>
      <w:r w:rsidR="00D135CA" w:rsidRPr="000D7BAE">
        <w:rPr>
          <w:rFonts w:asciiTheme="minorBidi" w:hAnsiTheme="minorBidi" w:cstheme="minorBidi"/>
        </w:rPr>
        <w:t xml:space="preserve">this initiative is </w:t>
      </w:r>
      <w:r w:rsidR="00D135CA" w:rsidRPr="00A4713D">
        <w:rPr>
          <w:rFonts w:asciiTheme="minorBidi" w:hAnsiTheme="minorBidi" w:cstheme="minorBidi"/>
        </w:rPr>
        <w:t>brough</w:t>
      </w:r>
      <w:r w:rsidR="005F778A" w:rsidRPr="00A4713D">
        <w:rPr>
          <w:rFonts w:asciiTheme="minorBidi" w:hAnsiTheme="minorBidi" w:cstheme="minorBidi"/>
        </w:rPr>
        <w:t>t</w:t>
      </w:r>
      <w:r w:rsidR="00D135CA" w:rsidRPr="00A4713D">
        <w:rPr>
          <w:rFonts w:asciiTheme="minorBidi" w:hAnsiTheme="minorBidi" w:cstheme="minorBidi"/>
        </w:rPr>
        <w:t xml:space="preserve"> to the attention of the present Committee under Item </w:t>
      </w:r>
      <w:r w:rsidR="00A04706" w:rsidRPr="00A4713D">
        <w:rPr>
          <w:rFonts w:asciiTheme="minorBidi" w:hAnsiTheme="minorBidi" w:cstheme="minorBidi"/>
        </w:rPr>
        <w:t>10</w:t>
      </w:r>
      <w:r w:rsidR="00D135CA" w:rsidRPr="00A4713D">
        <w:rPr>
          <w:rFonts w:asciiTheme="minorBidi" w:hAnsiTheme="minorBidi" w:cstheme="minorBidi"/>
        </w:rPr>
        <w:t xml:space="preserve"> (</w:t>
      </w:r>
      <w:r w:rsidR="00D135CA" w:rsidRPr="00E961E4">
        <w:rPr>
          <w:rFonts w:asciiTheme="minorBidi" w:hAnsiTheme="minorBidi" w:cstheme="minorBidi"/>
        </w:rPr>
        <w:t xml:space="preserve">see </w:t>
      </w:r>
      <w:r w:rsidR="006E7A02" w:rsidRPr="00E961E4">
        <w:rPr>
          <w:rFonts w:asciiTheme="minorBidi" w:hAnsiTheme="minorBidi" w:cstheme="minorBidi"/>
        </w:rPr>
        <w:t xml:space="preserve">document </w:t>
      </w:r>
      <w:hyperlink r:id="rId20" w:history="1">
        <w:r w:rsidR="006E7A02" w:rsidRPr="00E961E4">
          <w:rPr>
            <w:rStyle w:val="Hyperlink"/>
            <w:rFonts w:cstheme="minorBidi"/>
          </w:rPr>
          <w:t>LHE/22/17.COM/1</w:t>
        </w:r>
        <w:r w:rsidR="00A65057" w:rsidRPr="00E961E4">
          <w:rPr>
            <w:rStyle w:val="Hyperlink"/>
            <w:rFonts w:cstheme="minorBidi"/>
          </w:rPr>
          <w:t>0</w:t>
        </w:r>
      </w:hyperlink>
      <w:r w:rsidR="00190A30" w:rsidRPr="00A4713D">
        <w:rPr>
          <w:rFonts w:asciiTheme="minorBidi" w:hAnsiTheme="minorBidi" w:cstheme="minorBidi"/>
        </w:rPr>
        <w:t>)</w:t>
      </w:r>
      <w:r w:rsidR="00812EC7" w:rsidRPr="00A4713D">
        <w:rPr>
          <w:rFonts w:asciiTheme="minorBidi" w:hAnsiTheme="minorBidi" w:cstheme="minorBidi"/>
        </w:rPr>
        <w:t>.</w:t>
      </w:r>
    </w:p>
    <w:p w14:paraId="56120CD1" w14:textId="5F427C56" w:rsidR="00FA1373" w:rsidRPr="000D7BAE" w:rsidRDefault="00870731" w:rsidP="00370292">
      <w:pPr>
        <w:pStyle w:val="GAPara"/>
        <w:numPr>
          <w:ilvl w:val="0"/>
          <w:numId w:val="6"/>
        </w:numPr>
        <w:ind w:left="567" w:hanging="567"/>
        <w:jc w:val="both"/>
        <w:rPr>
          <w:rFonts w:asciiTheme="minorBidi" w:hAnsiTheme="minorBidi" w:cstheme="minorBidi"/>
        </w:rPr>
      </w:pPr>
      <w:r w:rsidRPr="000D7BAE">
        <w:rPr>
          <w:rFonts w:asciiTheme="minorBidi" w:hAnsiTheme="minorBidi" w:cstheme="minorBidi"/>
          <w:b/>
          <w:bCs/>
        </w:rPr>
        <w:t xml:space="preserve">Harmonization of </w:t>
      </w:r>
      <w:r w:rsidR="00F346BA" w:rsidRPr="000D7BAE">
        <w:rPr>
          <w:rFonts w:asciiTheme="minorBidi" w:hAnsiTheme="minorBidi" w:cstheme="minorBidi"/>
          <w:b/>
          <w:bCs/>
        </w:rPr>
        <w:t xml:space="preserve">the </w:t>
      </w:r>
      <w:r w:rsidRPr="000D7BAE">
        <w:rPr>
          <w:rFonts w:asciiTheme="minorBidi" w:hAnsiTheme="minorBidi" w:cstheme="minorBidi"/>
          <w:b/>
          <w:bCs/>
        </w:rPr>
        <w:t>Rules of Procedures with other Conventions</w:t>
      </w:r>
      <w:r w:rsidRPr="000D7BAE">
        <w:rPr>
          <w:rFonts w:asciiTheme="minorBidi" w:hAnsiTheme="minorBidi" w:cstheme="minorBidi"/>
        </w:rPr>
        <w:t xml:space="preserve">: Another achievement of the reporting period was the revisions to the Rules of </w:t>
      </w:r>
      <w:r w:rsidR="00F346BA" w:rsidRPr="000D7BAE">
        <w:rPr>
          <w:rFonts w:asciiTheme="minorBidi" w:hAnsiTheme="minorBidi" w:cstheme="minorBidi"/>
        </w:rPr>
        <w:t>P</w:t>
      </w:r>
      <w:r w:rsidRPr="000D7BAE">
        <w:rPr>
          <w:rFonts w:asciiTheme="minorBidi" w:hAnsiTheme="minorBidi" w:cstheme="minorBidi"/>
        </w:rPr>
        <w:t>rocedure of the 2003 Convention’s General Assembly</w:t>
      </w:r>
      <w:r w:rsidR="0097229E" w:rsidRPr="000D7BAE">
        <w:rPr>
          <w:rFonts w:asciiTheme="minorBidi" w:hAnsiTheme="minorBidi" w:cstheme="minorBidi"/>
        </w:rPr>
        <w:t xml:space="preserve">, </w:t>
      </w:r>
      <w:r w:rsidR="00F346BA" w:rsidRPr="000D7BAE">
        <w:rPr>
          <w:rFonts w:asciiTheme="minorBidi" w:hAnsiTheme="minorBidi" w:cstheme="minorBidi"/>
        </w:rPr>
        <w:t xml:space="preserve">undertaken </w:t>
      </w:r>
      <w:r w:rsidR="0017207F" w:rsidRPr="000D7BAE">
        <w:rPr>
          <w:rFonts w:asciiTheme="minorBidi" w:hAnsiTheme="minorBidi" w:cstheme="minorBidi"/>
        </w:rPr>
        <w:t>as part of U</w:t>
      </w:r>
      <w:r w:rsidR="00E02CA0" w:rsidRPr="000D7BAE">
        <w:rPr>
          <w:rFonts w:asciiTheme="minorBidi" w:hAnsiTheme="minorBidi" w:cstheme="minorBidi"/>
        </w:rPr>
        <w:t>N</w:t>
      </w:r>
      <w:r w:rsidR="0017207F" w:rsidRPr="000D7BAE">
        <w:rPr>
          <w:rFonts w:asciiTheme="minorBidi" w:hAnsiTheme="minorBidi" w:cstheme="minorBidi"/>
        </w:rPr>
        <w:t>ESCO-wide long standing effort to improve its governance (</w:t>
      </w:r>
      <w:hyperlink r:id="rId21" w:history="1">
        <w:r w:rsidR="0017207F" w:rsidRPr="000D7BAE">
          <w:rPr>
            <w:rFonts w:asciiTheme="minorBidi" w:hAnsiTheme="minorBidi" w:cstheme="minorBidi"/>
            <w:snapToGrid/>
            <w:color w:val="0000FF"/>
            <w:u w:val="single"/>
            <w:lang w:eastAsia="fr-FR"/>
          </w:rPr>
          <w:t>38 C/Resolution 101</w:t>
        </w:r>
      </w:hyperlink>
      <w:r w:rsidR="0017207F" w:rsidRPr="00E961E4">
        <w:rPr>
          <w:rFonts w:asciiTheme="minorBidi" w:hAnsiTheme="minorBidi" w:cstheme="minorBidi"/>
          <w:snapToGrid/>
          <w:lang w:eastAsia="fr-FR"/>
        </w:rPr>
        <w:t>,</w:t>
      </w:r>
      <w:r w:rsidR="0017207F" w:rsidRPr="00E961E4">
        <w:rPr>
          <w:rFonts w:asciiTheme="minorBidi" w:hAnsiTheme="minorBidi" w:cstheme="minorBidi"/>
        </w:rPr>
        <w:t xml:space="preserve"> </w:t>
      </w:r>
      <w:hyperlink r:id="rId22" w:history="1">
        <w:r w:rsidR="0017207F" w:rsidRPr="00E961E4">
          <w:rPr>
            <w:rStyle w:val="Hyperlink"/>
            <w:rFonts w:asciiTheme="minorBidi" w:hAnsiTheme="minorBidi" w:cstheme="minorBidi"/>
          </w:rPr>
          <w:t>39 C/Resolution 87</w:t>
        </w:r>
      </w:hyperlink>
      <w:r w:rsidR="0017207F" w:rsidRPr="00E961E4">
        <w:rPr>
          <w:rStyle w:val="FootnoteReference"/>
          <w:rFonts w:asciiTheme="minorBidi" w:hAnsiTheme="minorBidi" w:cstheme="minorBidi"/>
        </w:rPr>
        <w:footnoteReference w:id="3"/>
      </w:r>
      <w:r w:rsidR="0017207F" w:rsidRPr="000D7BAE">
        <w:rPr>
          <w:rFonts w:asciiTheme="minorBidi" w:hAnsiTheme="minorBidi" w:cstheme="minorBidi"/>
        </w:rPr>
        <w:t xml:space="preserve">) and </w:t>
      </w:r>
      <w:r w:rsidR="0097229E" w:rsidRPr="000D7BAE">
        <w:rPr>
          <w:rFonts w:asciiTheme="minorBidi" w:hAnsiTheme="minorBidi" w:cstheme="minorBidi"/>
        </w:rPr>
        <w:t xml:space="preserve">in response to recurrent requests by the governing bodies of the Convention (Resolutions </w:t>
      </w:r>
      <w:hyperlink r:id="rId23" w:history="1">
        <w:r w:rsidR="0097229E" w:rsidRPr="000D7BAE">
          <w:rPr>
            <w:rStyle w:val="Hyperlink"/>
            <w:rFonts w:asciiTheme="minorBidi" w:hAnsiTheme="minorBidi" w:cstheme="minorBidi"/>
          </w:rPr>
          <w:t>6.GA 11</w:t>
        </w:r>
      </w:hyperlink>
      <w:r w:rsidR="0097229E" w:rsidRPr="000D7BAE">
        <w:rPr>
          <w:rFonts w:asciiTheme="minorBidi" w:hAnsiTheme="minorBidi" w:cstheme="minorBidi"/>
        </w:rPr>
        <w:t xml:space="preserve">, </w:t>
      </w:r>
      <w:hyperlink r:id="rId24" w:history="1">
        <w:r w:rsidR="0097229E" w:rsidRPr="000D7BAE">
          <w:rPr>
            <w:rStyle w:val="Hyperlink"/>
            <w:rFonts w:asciiTheme="minorBidi" w:hAnsiTheme="minorBidi" w:cstheme="minorBidi"/>
          </w:rPr>
          <w:t>7.GA 12</w:t>
        </w:r>
      </w:hyperlink>
      <w:r w:rsidR="0097229E" w:rsidRPr="000D7BAE">
        <w:rPr>
          <w:rFonts w:asciiTheme="minorBidi" w:hAnsiTheme="minorBidi" w:cstheme="minorBidi"/>
        </w:rPr>
        <w:t xml:space="preserve"> and </w:t>
      </w:r>
      <w:hyperlink r:id="rId25" w:history="1">
        <w:r w:rsidR="0097229E" w:rsidRPr="000D7BAE">
          <w:rPr>
            <w:rStyle w:val="Hyperlink"/>
            <w:rFonts w:asciiTheme="minorBidi" w:hAnsiTheme="minorBidi" w:cstheme="minorBidi"/>
          </w:rPr>
          <w:t>7.GA 13</w:t>
        </w:r>
      </w:hyperlink>
      <w:r w:rsidR="0097229E" w:rsidRPr="000D7BAE">
        <w:rPr>
          <w:rFonts w:asciiTheme="minorBidi" w:hAnsiTheme="minorBidi" w:cstheme="minorBidi"/>
        </w:rPr>
        <w:t xml:space="preserve">, </w:t>
      </w:r>
      <w:hyperlink r:id="rId26" w:history="1">
        <w:r w:rsidR="0097229E" w:rsidRPr="000D7BAE">
          <w:rPr>
            <w:rFonts w:asciiTheme="minorBidi" w:hAnsiTheme="minorBidi" w:cstheme="minorBidi"/>
            <w:snapToGrid/>
            <w:color w:val="0000FF"/>
            <w:u w:val="single"/>
            <w:lang w:eastAsia="fr-FR"/>
          </w:rPr>
          <w:t>8.GA 15</w:t>
        </w:r>
      </w:hyperlink>
      <w:r w:rsidR="0097229E" w:rsidRPr="000D7BAE">
        <w:rPr>
          <w:rFonts w:asciiTheme="minorBidi" w:hAnsiTheme="minorBidi" w:cstheme="minorBidi"/>
        </w:rPr>
        <w:t xml:space="preserve"> as well as Decisions </w:t>
      </w:r>
      <w:hyperlink r:id="rId27" w:history="1">
        <w:r w:rsidR="0097229E" w:rsidRPr="000D7BAE">
          <w:rPr>
            <w:rStyle w:val="Hyperlink"/>
            <w:rFonts w:asciiTheme="minorBidi" w:hAnsiTheme="minorBidi" w:cstheme="minorBidi"/>
          </w:rPr>
          <w:t>13.COM 17</w:t>
        </w:r>
      </w:hyperlink>
      <w:r w:rsidR="0097229E" w:rsidRPr="000D7BAE">
        <w:rPr>
          <w:rFonts w:asciiTheme="minorBidi" w:hAnsiTheme="minorBidi" w:cstheme="minorBidi"/>
        </w:rPr>
        <w:t xml:space="preserve"> and </w:t>
      </w:r>
      <w:hyperlink r:id="rId28" w:history="1">
        <w:r w:rsidR="0097229E" w:rsidRPr="000D7BAE">
          <w:rPr>
            <w:rStyle w:val="Hyperlink"/>
            <w:rFonts w:asciiTheme="minorBidi" w:hAnsiTheme="minorBidi" w:cstheme="minorBidi"/>
          </w:rPr>
          <w:t>14.COM 19</w:t>
        </w:r>
      </w:hyperlink>
      <w:r w:rsidR="0097229E" w:rsidRPr="000D7BAE">
        <w:rPr>
          <w:rFonts w:asciiTheme="minorBidi" w:hAnsiTheme="minorBidi" w:cstheme="minorBidi"/>
        </w:rPr>
        <w:t>).</w:t>
      </w:r>
      <w:r w:rsidR="00E02CA0" w:rsidRPr="000D7BAE">
        <w:rPr>
          <w:rFonts w:asciiTheme="minorBidi" w:hAnsiTheme="minorBidi" w:cstheme="minorBidi"/>
        </w:rPr>
        <w:t xml:space="preserve"> The Secretariat of the 2003 Convention </w:t>
      </w:r>
      <w:r w:rsidR="00E9166E" w:rsidRPr="000D7BAE">
        <w:rPr>
          <w:rFonts w:asciiTheme="minorBidi" w:hAnsiTheme="minorBidi" w:cstheme="minorBidi"/>
        </w:rPr>
        <w:t xml:space="preserve">participated in the </w:t>
      </w:r>
      <w:r w:rsidR="00FA1373" w:rsidRPr="000D7BAE">
        <w:rPr>
          <w:rFonts w:asciiTheme="minorBidi" w:hAnsiTheme="minorBidi" w:cstheme="minorBidi"/>
        </w:rPr>
        <w:t>preparation of the</w:t>
      </w:r>
      <w:r w:rsidR="00E9166E" w:rsidRPr="000D7BAE">
        <w:rPr>
          <w:rFonts w:asciiTheme="minorBidi" w:hAnsiTheme="minorBidi" w:cstheme="minorBidi"/>
        </w:rPr>
        <w:t xml:space="preserve"> </w:t>
      </w:r>
      <w:r w:rsidR="00E02CA0" w:rsidRPr="000D7BAE">
        <w:rPr>
          <w:rFonts w:asciiTheme="minorBidi" w:hAnsiTheme="minorBidi" w:cstheme="minorBidi"/>
        </w:rPr>
        <w:t>m</w:t>
      </w:r>
      <w:r w:rsidR="00E9166E" w:rsidRPr="000D7BAE">
        <w:rPr>
          <w:rFonts w:asciiTheme="minorBidi" w:hAnsiTheme="minorBidi" w:cstheme="minorBidi"/>
        </w:rPr>
        <w:t xml:space="preserve">odel </w:t>
      </w:r>
      <w:r w:rsidR="00E02CA0" w:rsidRPr="000D7BAE">
        <w:rPr>
          <w:rFonts w:asciiTheme="minorBidi" w:hAnsiTheme="minorBidi" w:cstheme="minorBidi"/>
        </w:rPr>
        <w:t>r</w:t>
      </w:r>
      <w:r w:rsidR="00E9166E" w:rsidRPr="000D7BAE">
        <w:rPr>
          <w:rFonts w:asciiTheme="minorBidi" w:hAnsiTheme="minorBidi" w:cstheme="minorBidi"/>
        </w:rPr>
        <w:t xml:space="preserve">ules of </w:t>
      </w:r>
      <w:r w:rsidR="00E02CA0" w:rsidRPr="000D7BAE">
        <w:rPr>
          <w:rFonts w:asciiTheme="minorBidi" w:hAnsiTheme="minorBidi" w:cstheme="minorBidi"/>
        </w:rPr>
        <w:t>p</w:t>
      </w:r>
      <w:r w:rsidR="00E9166E" w:rsidRPr="000D7BAE">
        <w:rPr>
          <w:rFonts w:asciiTheme="minorBidi" w:hAnsiTheme="minorBidi" w:cstheme="minorBidi"/>
        </w:rPr>
        <w:t xml:space="preserve">rocedure for the </w:t>
      </w:r>
      <w:r w:rsidR="00E02CA0" w:rsidRPr="000D7BAE">
        <w:rPr>
          <w:rFonts w:asciiTheme="minorBidi" w:hAnsiTheme="minorBidi" w:cstheme="minorBidi"/>
        </w:rPr>
        <w:t>a</w:t>
      </w:r>
      <w:r w:rsidR="00E9166E" w:rsidRPr="000D7BAE">
        <w:rPr>
          <w:rFonts w:asciiTheme="minorBidi" w:hAnsiTheme="minorBidi" w:cstheme="minorBidi"/>
        </w:rPr>
        <w:t>ssemblies of Parties to UNESCO</w:t>
      </w:r>
      <w:r w:rsidR="00E02CA0" w:rsidRPr="000D7BAE">
        <w:rPr>
          <w:rFonts w:asciiTheme="minorBidi" w:hAnsiTheme="minorBidi" w:cstheme="minorBidi"/>
        </w:rPr>
        <w:t>’s</w:t>
      </w:r>
      <w:r w:rsidR="00E9166E" w:rsidRPr="000D7BAE">
        <w:rPr>
          <w:rFonts w:asciiTheme="minorBidi" w:hAnsiTheme="minorBidi" w:cstheme="minorBidi"/>
        </w:rPr>
        <w:t xml:space="preserve"> cultur</w:t>
      </w:r>
      <w:r w:rsidR="00E02CA0" w:rsidRPr="000D7BAE">
        <w:rPr>
          <w:rFonts w:asciiTheme="minorBidi" w:hAnsiTheme="minorBidi" w:cstheme="minorBidi"/>
        </w:rPr>
        <w:t>e c</w:t>
      </w:r>
      <w:r w:rsidR="00E9166E" w:rsidRPr="000D7BAE">
        <w:rPr>
          <w:rFonts w:asciiTheme="minorBidi" w:hAnsiTheme="minorBidi" w:cstheme="minorBidi"/>
        </w:rPr>
        <w:t>onventions</w:t>
      </w:r>
      <w:r w:rsidR="00E02CA0" w:rsidRPr="000D7BAE">
        <w:rPr>
          <w:rFonts w:asciiTheme="minorBidi" w:hAnsiTheme="minorBidi" w:cstheme="minorBidi"/>
        </w:rPr>
        <w:t xml:space="preserve"> (or ‘the Model Rules of Procedure’)</w:t>
      </w:r>
      <w:r w:rsidR="00E9166E" w:rsidRPr="000D7BAE">
        <w:rPr>
          <w:rFonts w:asciiTheme="minorBidi" w:hAnsiTheme="minorBidi" w:cstheme="minorBidi"/>
        </w:rPr>
        <w:t xml:space="preserve">, </w:t>
      </w:r>
      <w:r w:rsidR="00E02CA0" w:rsidRPr="000D7BAE">
        <w:rPr>
          <w:rFonts w:asciiTheme="minorBidi" w:hAnsiTheme="minorBidi" w:cstheme="minorBidi"/>
        </w:rPr>
        <w:t>which was examined by the</w:t>
      </w:r>
      <w:r w:rsidR="00A164D7" w:rsidRPr="000D7BAE">
        <w:rPr>
          <w:rFonts w:asciiTheme="minorBidi" w:hAnsiTheme="minorBidi" w:cstheme="minorBidi"/>
        </w:rPr>
        <w:t xml:space="preserve"> 41st session of the General Conference (</w:t>
      </w:r>
      <w:hyperlink r:id="rId29" w:anchor="%5B%7B%22num%22%3A197%2C%22gen%22%3A0%7D%2C%7B%22name%22%3A%22XYZ%22%7D%2C54%2C341%2C0%5D" w:history="1">
        <w:r w:rsidR="00BC3085" w:rsidRPr="000D7BAE">
          <w:rPr>
            <w:rStyle w:val="Hyperlink"/>
            <w:rFonts w:asciiTheme="minorBidi" w:eastAsia="SimSun" w:hAnsiTheme="minorBidi" w:cstheme="minorBidi"/>
          </w:rPr>
          <w:t>41C/Resolution 74</w:t>
        </w:r>
      </w:hyperlink>
      <w:r w:rsidR="00A164D7" w:rsidRPr="000D7BAE">
        <w:rPr>
          <w:rFonts w:asciiTheme="minorBidi" w:hAnsiTheme="minorBidi" w:cstheme="minorBidi"/>
        </w:rPr>
        <w:t>).</w:t>
      </w:r>
      <w:r w:rsidR="00BC3085" w:rsidRPr="000D7BAE">
        <w:rPr>
          <w:rFonts w:asciiTheme="minorBidi" w:hAnsiTheme="minorBidi" w:cstheme="minorBidi"/>
        </w:rPr>
        <w:t xml:space="preserve"> </w:t>
      </w:r>
      <w:r w:rsidR="00A164D7" w:rsidRPr="000D7BAE">
        <w:rPr>
          <w:rFonts w:asciiTheme="minorBidi" w:hAnsiTheme="minorBidi" w:cstheme="minorBidi"/>
        </w:rPr>
        <w:t xml:space="preserve">The revisions to the Rules of </w:t>
      </w:r>
      <w:r w:rsidR="00F346BA" w:rsidRPr="000D7BAE">
        <w:rPr>
          <w:rFonts w:asciiTheme="minorBidi" w:hAnsiTheme="minorBidi" w:cstheme="minorBidi"/>
        </w:rPr>
        <w:t>P</w:t>
      </w:r>
      <w:r w:rsidR="00A164D7" w:rsidRPr="000D7BAE">
        <w:rPr>
          <w:rFonts w:asciiTheme="minorBidi" w:hAnsiTheme="minorBidi" w:cstheme="minorBidi"/>
        </w:rPr>
        <w:t xml:space="preserve">rocedure of the 2003 Convention’s General Assembly were proposed in alignment </w:t>
      </w:r>
      <w:r w:rsidR="00CE44A0" w:rsidRPr="000D7BAE">
        <w:rPr>
          <w:rFonts w:asciiTheme="minorBidi" w:hAnsiTheme="minorBidi" w:cstheme="minorBidi"/>
        </w:rPr>
        <w:t>with</w:t>
      </w:r>
      <w:r w:rsidR="00A164D7" w:rsidRPr="000D7BAE">
        <w:rPr>
          <w:rFonts w:asciiTheme="minorBidi" w:hAnsiTheme="minorBidi" w:cstheme="minorBidi"/>
        </w:rPr>
        <w:t xml:space="preserve"> the Model Rules of Procedure</w:t>
      </w:r>
      <w:r w:rsidR="005A252A" w:rsidRPr="000D7BAE">
        <w:rPr>
          <w:rFonts w:asciiTheme="minorBidi" w:hAnsiTheme="minorBidi" w:cstheme="minorBidi"/>
        </w:rPr>
        <w:t xml:space="preserve"> (</w:t>
      </w:r>
      <w:r w:rsidR="00CE44A0" w:rsidRPr="000D7BAE">
        <w:rPr>
          <w:rFonts w:asciiTheme="minorBidi" w:hAnsiTheme="minorBidi" w:cstheme="minorBidi"/>
        </w:rPr>
        <w:t>meaning that</w:t>
      </w:r>
      <w:r w:rsidR="005A252A" w:rsidRPr="000D7BAE">
        <w:rPr>
          <w:rFonts w:asciiTheme="minorBidi" w:hAnsiTheme="minorBidi" w:cstheme="minorBidi"/>
        </w:rPr>
        <w:t xml:space="preserve"> the number of Rules increased from </w:t>
      </w:r>
      <w:r w:rsidR="00F7273D" w:rsidRPr="000D7BAE">
        <w:rPr>
          <w:rFonts w:asciiTheme="minorBidi" w:hAnsiTheme="minorBidi" w:cstheme="minorBidi"/>
        </w:rPr>
        <w:t xml:space="preserve">nineteen </w:t>
      </w:r>
      <w:r w:rsidR="005A252A" w:rsidRPr="000D7BAE">
        <w:rPr>
          <w:rFonts w:asciiTheme="minorBidi" w:hAnsiTheme="minorBidi" w:cstheme="minorBidi"/>
        </w:rPr>
        <w:t xml:space="preserve">to </w:t>
      </w:r>
      <w:r w:rsidR="00F7273D" w:rsidRPr="000D7BAE">
        <w:rPr>
          <w:rFonts w:asciiTheme="minorBidi" w:hAnsiTheme="minorBidi" w:cstheme="minorBidi"/>
        </w:rPr>
        <w:t>forty</w:t>
      </w:r>
      <w:r w:rsidR="005A252A" w:rsidRPr="000D7BAE">
        <w:rPr>
          <w:rFonts w:asciiTheme="minorBidi" w:hAnsiTheme="minorBidi" w:cstheme="minorBidi"/>
        </w:rPr>
        <w:t>)</w:t>
      </w:r>
      <w:r w:rsidR="00FA1373" w:rsidRPr="000D7BAE">
        <w:rPr>
          <w:rFonts w:asciiTheme="minorBidi" w:hAnsiTheme="minorBidi" w:cstheme="minorBidi"/>
        </w:rPr>
        <w:t>. Given the volume and technical complexity</w:t>
      </w:r>
      <w:r w:rsidR="00CE44A0" w:rsidRPr="000D7BAE">
        <w:rPr>
          <w:rFonts w:asciiTheme="minorBidi" w:hAnsiTheme="minorBidi" w:cstheme="minorBidi"/>
        </w:rPr>
        <w:t xml:space="preserve"> of the process</w:t>
      </w:r>
      <w:r w:rsidR="00FA1373" w:rsidRPr="000D7BAE">
        <w:rPr>
          <w:rFonts w:asciiTheme="minorBidi" w:hAnsiTheme="minorBidi" w:cstheme="minorBidi"/>
        </w:rPr>
        <w:t>, the Secretariat invited States Parties to the Convention to an online information and exchange meeting on 31 May 2022</w:t>
      </w:r>
      <w:r w:rsidR="005A252A" w:rsidRPr="000D7BAE">
        <w:rPr>
          <w:rFonts w:asciiTheme="minorBidi" w:hAnsiTheme="minorBidi" w:cstheme="minorBidi"/>
        </w:rPr>
        <w:t>. The proposed revision</w:t>
      </w:r>
      <w:r w:rsidR="006F484D" w:rsidRPr="000D7BAE">
        <w:rPr>
          <w:rFonts w:asciiTheme="minorBidi" w:hAnsiTheme="minorBidi" w:cstheme="minorBidi"/>
        </w:rPr>
        <w:t>s</w:t>
      </w:r>
      <w:r w:rsidR="005A252A" w:rsidRPr="000D7BAE">
        <w:rPr>
          <w:rFonts w:asciiTheme="minorBidi" w:hAnsiTheme="minorBidi" w:cstheme="minorBidi"/>
        </w:rPr>
        <w:t xml:space="preserve"> were approved by the ninth session of the General Assembly and</w:t>
      </w:r>
      <w:r w:rsidR="00A168C6" w:rsidRPr="000D7BAE">
        <w:rPr>
          <w:rFonts w:asciiTheme="minorBidi" w:hAnsiTheme="minorBidi" w:cstheme="minorBidi"/>
        </w:rPr>
        <w:t>,</w:t>
      </w:r>
      <w:r w:rsidR="005A252A" w:rsidRPr="000D7BAE">
        <w:rPr>
          <w:rFonts w:asciiTheme="minorBidi" w:hAnsiTheme="minorBidi" w:cstheme="minorBidi"/>
        </w:rPr>
        <w:t xml:space="preserve"> as such</w:t>
      </w:r>
      <w:r w:rsidR="00A168C6" w:rsidRPr="000D7BAE">
        <w:rPr>
          <w:rFonts w:asciiTheme="minorBidi" w:hAnsiTheme="minorBidi" w:cstheme="minorBidi"/>
        </w:rPr>
        <w:t>,</w:t>
      </w:r>
      <w:r w:rsidR="005A252A" w:rsidRPr="000D7BAE">
        <w:rPr>
          <w:rFonts w:asciiTheme="minorBidi" w:hAnsiTheme="minorBidi" w:cstheme="minorBidi"/>
        </w:rPr>
        <w:t xml:space="preserve"> the 2003 Convention was </w:t>
      </w:r>
      <w:r w:rsidR="00CE44A0" w:rsidRPr="000D7BAE">
        <w:rPr>
          <w:rFonts w:asciiTheme="minorBidi" w:hAnsiTheme="minorBidi" w:cstheme="minorBidi"/>
        </w:rPr>
        <w:t xml:space="preserve">the </w:t>
      </w:r>
      <w:r w:rsidR="005A252A" w:rsidRPr="000D7BAE">
        <w:rPr>
          <w:rFonts w:asciiTheme="minorBidi" w:hAnsiTheme="minorBidi" w:cstheme="minorBidi"/>
        </w:rPr>
        <w:t xml:space="preserve">first </w:t>
      </w:r>
      <w:r w:rsidR="00CE44A0" w:rsidRPr="000D7BAE">
        <w:rPr>
          <w:rFonts w:asciiTheme="minorBidi" w:hAnsiTheme="minorBidi" w:cstheme="minorBidi"/>
        </w:rPr>
        <w:t>of</w:t>
      </w:r>
      <w:r w:rsidR="005A252A" w:rsidRPr="000D7BAE">
        <w:rPr>
          <w:rFonts w:asciiTheme="minorBidi" w:hAnsiTheme="minorBidi" w:cstheme="minorBidi"/>
        </w:rPr>
        <w:t xml:space="preserve"> the seven culture Conventions to </w:t>
      </w:r>
      <w:r w:rsidR="00D3627E" w:rsidRPr="000D7BAE">
        <w:rPr>
          <w:rFonts w:asciiTheme="minorBidi" w:hAnsiTheme="minorBidi" w:cstheme="minorBidi"/>
        </w:rPr>
        <w:t xml:space="preserve">spearhead the harmonization of </w:t>
      </w:r>
      <w:r w:rsidR="00CE44A0" w:rsidRPr="000D7BAE">
        <w:rPr>
          <w:rFonts w:asciiTheme="minorBidi" w:hAnsiTheme="minorBidi" w:cstheme="minorBidi"/>
        </w:rPr>
        <w:t xml:space="preserve">the </w:t>
      </w:r>
      <w:r w:rsidR="00D3627E" w:rsidRPr="000D7BAE">
        <w:rPr>
          <w:rFonts w:asciiTheme="minorBidi" w:hAnsiTheme="minorBidi" w:cstheme="minorBidi"/>
        </w:rPr>
        <w:t>rules of procedure</w:t>
      </w:r>
      <w:r w:rsidR="00357614" w:rsidRPr="000D7BAE">
        <w:rPr>
          <w:rFonts w:asciiTheme="minorBidi" w:hAnsiTheme="minorBidi" w:cstheme="minorBidi"/>
        </w:rPr>
        <w:t xml:space="preserve"> </w:t>
      </w:r>
      <w:r w:rsidR="00A85D19" w:rsidRPr="000D7BAE">
        <w:rPr>
          <w:rFonts w:asciiTheme="minorBidi" w:hAnsiTheme="minorBidi" w:cstheme="minorBidi"/>
        </w:rPr>
        <w:t xml:space="preserve">of its assembly </w:t>
      </w:r>
      <w:r w:rsidR="00357614" w:rsidRPr="000D7BAE">
        <w:rPr>
          <w:rFonts w:asciiTheme="minorBidi" w:hAnsiTheme="minorBidi" w:cstheme="minorBidi"/>
        </w:rPr>
        <w:t xml:space="preserve">(Resolution </w:t>
      </w:r>
      <w:hyperlink r:id="rId30" w:history="1">
        <w:r w:rsidR="00357614" w:rsidRPr="000D7BAE">
          <w:rPr>
            <w:rStyle w:val="Hyperlink"/>
            <w:rFonts w:asciiTheme="minorBidi" w:hAnsiTheme="minorBidi" w:cstheme="minorBidi"/>
          </w:rPr>
          <w:t>9.GA 12</w:t>
        </w:r>
      </w:hyperlink>
      <w:r w:rsidR="00357614" w:rsidRPr="000D7BAE">
        <w:rPr>
          <w:rFonts w:asciiTheme="minorBidi" w:hAnsiTheme="minorBidi" w:cstheme="minorBidi"/>
        </w:rPr>
        <w:t>)</w:t>
      </w:r>
      <w:r w:rsidR="005A252A" w:rsidRPr="000D7BAE">
        <w:rPr>
          <w:rFonts w:asciiTheme="minorBidi" w:hAnsiTheme="minorBidi" w:cstheme="minorBidi"/>
        </w:rPr>
        <w:t>.</w:t>
      </w:r>
    </w:p>
    <w:p w14:paraId="44A13347" w14:textId="120FE867" w:rsidR="00C33C91" w:rsidRPr="000D7BAE" w:rsidRDefault="00353068" w:rsidP="00370292">
      <w:pPr>
        <w:pStyle w:val="GAPara"/>
        <w:numPr>
          <w:ilvl w:val="0"/>
          <w:numId w:val="6"/>
        </w:numPr>
        <w:ind w:left="567" w:hanging="567"/>
        <w:jc w:val="both"/>
        <w:rPr>
          <w:rFonts w:asciiTheme="minorBidi" w:hAnsiTheme="minorBidi" w:cstheme="minorBidi"/>
        </w:rPr>
      </w:pPr>
      <w:r w:rsidRPr="000D7BAE">
        <w:rPr>
          <w:rFonts w:asciiTheme="minorBidi" w:hAnsiTheme="minorBidi" w:cstheme="minorBidi"/>
          <w:b/>
          <w:bCs/>
        </w:rPr>
        <w:t>Support to the Evaluation Body</w:t>
      </w:r>
      <w:r w:rsidR="00C00D22" w:rsidRPr="000D7BAE">
        <w:rPr>
          <w:rFonts w:asciiTheme="minorBidi" w:hAnsiTheme="minorBidi" w:cstheme="minorBidi"/>
          <w:b/>
          <w:bCs/>
        </w:rPr>
        <w:t>:</w:t>
      </w:r>
      <w:r w:rsidR="00E41B9B" w:rsidRPr="000D7BAE">
        <w:rPr>
          <w:rFonts w:asciiTheme="minorBidi" w:hAnsiTheme="minorBidi" w:cstheme="minorBidi"/>
          <w:b/>
          <w:bCs/>
        </w:rPr>
        <w:t xml:space="preserve"> </w:t>
      </w:r>
      <w:r w:rsidR="0049222A" w:rsidRPr="000D7BAE">
        <w:rPr>
          <w:rFonts w:asciiTheme="minorBidi" w:hAnsiTheme="minorBidi" w:cstheme="minorBidi"/>
        </w:rPr>
        <w:t>T</w:t>
      </w:r>
      <w:r w:rsidR="00C00D22" w:rsidRPr="000D7BAE">
        <w:rPr>
          <w:rFonts w:asciiTheme="minorBidi" w:hAnsiTheme="minorBidi" w:cstheme="minorBidi"/>
        </w:rPr>
        <w:t xml:space="preserve">he Secretariat </w:t>
      </w:r>
      <w:r w:rsidR="00E41B9B" w:rsidRPr="000D7BAE">
        <w:rPr>
          <w:rFonts w:asciiTheme="minorBidi" w:hAnsiTheme="minorBidi" w:cstheme="minorBidi"/>
        </w:rPr>
        <w:t xml:space="preserve">also </w:t>
      </w:r>
      <w:r w:rsidR="00C00D22" w:rsidRPr="000D7BAE">
        <w:rPr>
          <w:rFonts w:asciiTheme="minorBidi" w:hAnsiTheme="minorBidi" w:cstheme="minorBidi"/>
        </w:rPr>
        <w:t xml:space="preserve">undertook tasks </w:t>
      </w:r>
      <w:r w:rsidR="00E41B9B" w:rsidRPr="000D7BAE">
        <w:rPr>
          <w:rFonts w:asciiTheme="minorBidi" w:hAnsiTheme="minorBidi" w:cstheme="minorBidi"/>
        </w:rPr>
        <w:t>to support</w:t>
      </w:r>
      <w:r w:rsidR="00C00D22" w:rsidRPr="000D7BAE">
        <w:rPr>
          <w:rFonts w:asciiTheme="minorBidi" w:hAnsiTheme="minorBidi" w:cstheme="minorBidi"/>
        </w:rPr>
        <w:t xml:space="preserve"> the Evaluation Body in its evaluation of </w:t>
      </w:r>
      <w:r w:rsidR="00CE44A0" w:rsidRPr="000D7BAE">
        <w:rPr>
          <w:rFonts w:asciiTheme="minorBidi" w:hAnsiTheme="minorBidi" w:cstheme="minorBidi"/>
        </w:rPr>
        <w:t xml:space="preserve">the </w:t>
      </w:r>
      <w:r w:rsidR="00C00D22" w:rsidRPr="000D7BAE">
        <w:rPr>
          <w:rFonts w:asciiTheme="minorBidi" w:hAnsiTheme="minorBidi" w:cstheme="minorBidi"/>
        </w:rPr>
        <w:t>nomination files,</w:t>
      </w:r>
      <w:r w:rsidR="008C1641" w:rsidRPr="000D7BAE">
        <w:rPr>
          <w:rFonts w:asciiTheme="minorBidi" w:hAnsiTheme="minorBidi" w:cstheme="minorBidi"/>
        </w:rPr>
        <w:t xml:space="preserve"> notably </w:t>
      </w:r>
      <w:r w:rsidR="00E41B9B" w:rsidRPr="000D7BAE">
        <w:rPr>
          <w:rFonts w:asciiTheme="minorBidi" w:hAnsiTheme="minorBidi" w:cstheme="minorBidi"/>
        </w:rPr>
        <w:t xml:space="preserve">through </w:t>
      </w:r>
      <w:r w:rsidR="00B97467" w:rsidRPr="000D7BAE">
        <w:rPr>
          <w:rFonts w:asciiTheme="minorBidi" w:hAnsiTheme="minorBidi" w:cstheme="minorBidi"/>
        </w:rPr>
        <w:t xml:space="preserve">the </w:t>
      </w:r>
      <w:r w:rsidR="0034520C" w:rsidRPr="000D7BAE">
        <w:rPr>
          <w:rFonts w:asciiTheme="minorBidi" w:hAnsiTheme="minorBidi" w:cstheme="minorBidi"/>
        </w:rPr>
        <w:t xml:space="preserve">administration </w:t>
      </w:r>
      <w:r w:rsidR="00B97467" w:rsidRPr="000D7BAE">
        <w:rPr>
          <w:rFonts w:asciiTheme="minorBidi" w:hAnsiTheme="minorBidi" w:cstheme="minorBidi"/>
        </w:rPr>
        <w:t>of fifty-six files under the current 2022 cycle,</w:t>
      </w:r>
      <w:r w:rsidR="0034520C" w:rsidRPr="000D7BAE">
        <w:rPr>
          <w:rFonts w:asciiTheme="minorBidi" w:hAnsiTheme="minorBidi" w:cstheme="minorBidi"/>
        </w:rPr>
        <w:t xml:space="preserve"> as well as</w:t>
      </w:r>
      <w:r w:rsidR="00B97467" w:rsidRPr="000D7BAE">
        <w:rPr>
          <w:rFonts w:asciiTheme="minorBidi" w:hAnsiTheme="minorBidi" w:cstheme="minorBidi"/>
        </w:rPr>
        <w:t xml:space="preserve"> </w:t>
      </w:r>
      <w:r w:rsidR="002E6B39" w:rsidRPr="000D7BAE">
        <w:rPr>
          <w:rFonts w:asciiTheme="minorBidi" w:hAnsiTheme="minorBidi" w:cstheme="minorBidi"/>
        </w:rPr>
        <w:t>the registration of</w:t>
      </w:r>
      <w:r w:rsidR="008C1641" w:rsidRPr="000D7BAE">
        <w:rPr>
          <w:rFonts w:asciiTheme="minorBidi" w:hAnsiTheme="minorBidi" w:cstheme="minorBidi"/>
        </w:rPr>
        <w:t xml:space="preserve"> </w:t>
      </w:r>
      <w:r w:rsidR="00DA7488" w:rsidRPr="000D7BAE">
        <w:rPr>
          <w:rFonts w:asciiTheme="minorBidi" w:hAnsiTheme="minorBidi" w:cstheme="minorBidi"/>
        </w:rPr>
        <w:t>eighty-two</w:t>
      </w:r>
      <w:r w:rsidR="008C1641" w:rsidRPr="000D7BAE">
        <w:rPr>
          <w:rFonts w:asciiTheme="minorBidi" w:hAnsiTheme="minorBidi" w:cstheme="minorBidi"/>
        </w:rPr>
        <w:t xml:space="preserve"> nomination files newly </w:t>
      </w:r>
      <w:r w:rsidR="00E41B9B" w:rsidRPr="000D7BAE">
        <w:rPr>
          <w:rFonts w:asciiTheme="minorBidi" w:hAnsiTheme="minorBidi" w:cstheme="minorBidi"/>
        </w:rPr>
        <w:t>received</w:t>
      </w:r>
      <w:r w:rsidR="008C1641" w:rsidRPr="000D7BAE">
        <w:rPr>
          <w:rFonts w:asciiTheme="minorBidi" w:hAnsiTheme="minorBidi" w:cstheme="minorBidi"/>
        </w:rPr>
        <w:t xml:space="preserve"> </w:t>
      </w:r>
      <w:r w:rsidR="002E6B39" w:rsidRPr="000D7BAE">
        <w:rPr>
          <w:rFonts w:asciiTheme="minorBidi" w:hAnsiTheme="minorBidi" w:cstheme="minorBidi"/>
        </w:rPr>
        <w:t>by the deadline of 31 March 2022</w:t>
      </w:r>
      <w:r w:rsidR="00B97467" w:rsidRPr="000D7BAE">
        <w:rPr>
          <w:rFonts w:asciiTheme="minorBidi" w:hAnsiTheme="minorBidi" w:cstheme="minorBidi"/>
        </w:rPr>
        <w:t>, and</w:t>
      </w:r>
      <w:r w:rsidR="008C1641" w:rsidRPr="000D7BAE">
        <w:rPr>
          <w:rFonts w:asciiTheme="minorBidi" w:hAnsiTheme="minorBidi" w:cstheme="minorBidi"/>
        </w:rPr>
        <w:t xml:space="preserve"> </w:t>
      </w:r>
      <w:r w:rsidR="002E6B39" w:rsidRPr="000D7BAE">
        <w:rPr>
          <w:rFonts w:asciiTheme="minorBidi" w:hAnsiTheme="minorBidi" w:cstheme="minorBidi"/>
        </w:rPr>
        <w:t>the verification of</w:t>
      </w:r>
      <w:r w:rsidR="008C1641" w:rsidRPr="000D7BAE">
        <w:rPr>
          <w:rFonts w:asciiTheme="minorBidi" w:hAnsiTheme="minorBidi" w:cstheme="minorBidi"/>
        </w:rPr>
        <w:t xml:space="preserve"> the </w:t>
      </w:r>
      <w:r w:rsidR="00C00D22" w:rsidRPr="000D7BAE">
        <w:rPr>
          <w:rFonts w:asciiTheme="minorBidi" w:hAnsiTheme="minorBidi" w:cstheme="minorBidi"/>
        </w:rPr>
        <w:t>technical completeness of</w:t>
      </w:r>
      <w:r w:rsidR="008C1641" w:rsidRPr="000D7BAE">
        <w:rPr>
          <w:rFonts w:asciiTheme="minorBidi" w:hAnsiTheme="minorBidi" w:cstheme="minorBidi"/>
        </w:rPr>
        <w:t xml:space="preserve"> </w:t>
      </w:r>
      <w:r w:rsidR="00DA7488" w:rsidRPr="000D7BAE">
        <w:rPr>
          <w:rFonts w:asciiTheme="minorBidi" w:hAnsiTheme="minorBidi" w:cstheme="minorBidi"/>
        </w:rPr>
        <w:t>sixty</w:t>
      </w:r>
      <w:r w:rsidR="008C1641" w:rsidRPr="000D7BAE">
        <w:rPr>
          <w:rFonts w:asciiTheme="minorBidi" w:hAnsiTheme="minorBidi" w:cstheme="minorBidi"/>
        </w:rPr>
        <w:t xml:space="preserve"> files</w:t>
      </w:r>
      <w:r w:rsidR="009A09C2" w:rsidRPr="000D7BAE">
        <w:rPr>
          <w:rFonts w:asciiTheme="minorBidi" w:hAnsiTheme="minorBidi" w:cstheme="minorBidi"/>
        </w:rPr>
        <w:t>, including thirteen multinational files,</w:t>
      </w:r>
      <w:r w:rsidR="008C1641" w:rsidRPr="000D7BAE">
        <w:rPr>
          <w:rFonts w:asciiTheme="minorBidi" w:hAnsiTheme="minorBidi" w:cstheme="minorBidi"/>
        </w:rPr>
        <w:t xml:space="preserve"> </w:t>
      </w:r>
      <w:r w:rsidR="009A09C2" w:rsidRPr="000D7BAE">
        <w:rPr>
          <w:rFonts w:asciiTheme="minorBidi" w:hAnsiTheme="minorBidi" w:cstheme="minorBidi"/>
        </w:rPr>
        <w:t>included</w:t>
      </w:r>
      <w:r w:rsidR="00E41B9B" w:rsidRPr="000D7BAE">
        <w:rPr>
          <w:rFonts w:asciiTheme="minorBidi" w:hAnsiTheme="minorBidi" w:cstheme="minorBidi"/>
        </w:rPr>
        <w:t xml:space="preserve"> in</w:t>
      </w:r>
      <w:r w:rsidR="008C1641" w:rsidRPr="000D7BAE">
        <w:rPr>
          <w:rFonts w:asciiTheme="minorBidi" w:hAnsiTheme="minorBidi" w:cstheme="minorBidi"/>
        </w:rPr>
        <w:t xml:space="preserve"> the </w:t>
      </w:r>
      <w:r w:rsidR="009A09C2" w:rsidRPr="000D7BAE">
        <w:rPr>
          <w:rFonts w:asciiTheme="minorBidi" w:hAnsiTheme="minorBidi" w:cstheme="minorBidi"/>
        </w:rPr>
        <w:t xml:space="preserve">forthcoming </w:t>
      </w:r>
      <w:r w:rsidR="008C1641" w:rsidRPr="000D7BAE">
        <w:rPr>
          <w:rFonts w:asciiTheme="minorBidi" w:hAnsiTheme="minorBidi" w:cstheme="minorBidi"/>
        </w:rPr>
        <w:t>2023 cycle</w:t>
      </w:r>
      <w:r w:rsidR="00C00D22" w:rsidRPr="000D7BAE">
        <w:rPr>
          <w:rFonts w:asciiTheme="minorBidi" w:hAnsiTheme="minorBidi" w:cstheme="minorBidi"/>
        </w:rPr>
        <w:t xml:space="preserve">. </w:t>
      </w:r>
      <w:r w:rsidR="00C33C91" w:rsidRPr="000D7BAE">
        <w:rPr>
          <w:rFonts w:asciiTheme="minorBidi" w:hAnsiTheme="minorBidi" w:cstheme="minorBidi"/>
        </w:rPr>
        <w:t xml:space="preserve">All these tasks were performed within the statutory requirements defined by the text of the Convention and its Operational Directives, while allowing </w:t>
      </w:r>
      <w:r w:rsidR="00CE44A0" w:rsidRPr="000D7BAE">
        <w:rPr>
          <w:rFonts w:asciiTheme="minorBidi" w:hAnsiTheme="minorBidi" w:cstheme="minorBidi"/>
        </w:rPr>
        <w:t xml:space="preserve">for </w:t>
      </w:r>
      <w:r w:rsidR="00C33C91" w:rsidRPr="000D7BAE">
        <w:rPr>
          <w:rFonts w:asciiTheme="minorBidi" w:hAnsiTheme="minorBidi" w:cstheme="minorBidi"/>
        </w:rPr>
        <w:t xml:space="preserve">some leniency given the circumstances surrounding the </w:t>
      </w:r>
      <w:r w:rsidR="00F93E36" w:rsidRPr="000D7BAE">
        <w:rPr>
          <w:rFonts w:asciiTheme="minorBidi" w:hAnsiTheme="minorBidi" w:cstheme="minorBidi"/>
        </w:rPr>
        <w:t xml:space="preserve">COVID-19 </w:t>
      </w:r>
      <w:r w:rsidR="00C33C91" w:rsidRPr="000D7BAE">
        <w:rPr>
          <w:rFonts w:asciiTheme="minorBidi" w:hAnsiTheme="minorBidi" w:cstheme="minorBidi"/>
        </w:rPr>
        <w:t>pandemic.</w:t>
      </w:r>
    </w:p>
    <w:p w14:paraId="42225AFE" w14:textId="7B288530" w:rsidR="006B298A" w:rsidRPr="00E961E4" w:rsidRDefault="00234441" w:rsidP="00370292">
      <w:pPr>
        <w:pStyle w:val="GAPara"/>
        <w:numPr>
          <w:ilvl w:val="0"/>
          <w:numId w:val="6"/>
        </w:numPr>
        <w:ind w:left="567" w:hanging="567"/>
        <w:jc w:val="both"/>
        <w:rPr>
          <w:rFonts w:asciiTheme="minorBidi" w:hAnsiTheme="minorBidi" w:cstheme="minorBidi"/>
        </w:rPr>
      </w:pPr>
      <w:r w:rsidRPr="000D7BAE">
        <w:rPr>
          <w:rFonts w:asciiTheme="minorBidi" w:hAnsiTheme="minorBidi" w:cstheme="minorBidi"/>
          <w:b/>
          <w:bCs/>
        </w:rPr>
        <w:t>International Assistance</w:t>
      </w:r>
      <w:r w:rsidRPr="000D7BAE">
        <w:rPr>
          <w:rFonts w:asciiTheme="minorBidi" w:hAnsiTheme="minorBidi" w:cstheme="minorBidi"/>
        </w:rPr>
        <w:t xml:space="preserve">: </w:t>
      </w:r>
      <w:r w:rsidR="003D451A" w:rsidRPr="000D7BAE">
        <w:rPr>
          <w:rFonts w:asciiTheme="minorBidi" w:hAnsiTheme="minorBidi" w:cstheme="minorBidi"/>
        </w:rPr>
        <w:t xml:space="preserve">The Secretariat continued to support national safeguarding efforts through the International Assistance mechanism. </w:t>
      </w:r>
      <w:r w:rsidR="00DB244B" w:rsidRPr="000D7BAE">
        <w:rPr>
          <w:rFonts w:asciiTheme="minorBidi" w:hAnsiTheme="minorBidi" w:cstheme="minorBidi"/>
        </w:rPr>
        <w:t xml:space="preserve">Between January 2022 and June 2022, the Secretariat administered </w:t>
      </w:r>
      <w:r w:rsidR="00DB244B" w:rsidRPr="00E961E4">
        <w:rPr>
          <w:rFonts w:asciiTheme="minorBidi" w:hAnsiTheme="minorBidi" w:cstheme="minorBidi"/>
        </w:rPr>
        <w:t>five</w:t>
      </w:r>
      <w:r w:rsidR="00DB244B" w:rsidRPr="000D7BAE">
        <w:rPr>
          <w:rFonts w:asciiTheme="minorBidi" w:hAnsiTheme="minorBidi" w:cstheme="minorBidi"/>
        </w:rPr>
        <w:t xml:space="preserve"> new International Assistance requests </w:t>
      </w:r>
      <w:r w:rsidR="00A168C6" w:rsidRPr="000D7BAE">
        <w:rPr>
          <w:rFonts w:asciiTheme="minorBidi" w:hAnsiTheme="minorBidi" w:cstheme="minorBidi"/>
        </w:rPr>
        <w:t>approved</w:t>
      </w:r>
      <w:r w:rsidR="00DB244B" w:rsidRPr="000D7BAE">
        <w:rPr>
          <w:rFonts w:asciiTheme="minorBidi" w:hAnsiTheme="minorBidi" w:cstheme="minorBidi"/>
        </w:rPr>
        <w:t xml:space="preserve"> by the Bureau, while continuing to support the implementation of </w:t>
      </w:r>
      <w:r w:rsidR="00DB244B" w:rsidRPr="00E961E4">
        <w:rPr>
          <w:rFonts w:asciiTheme="minorBidi" w:hAnsiTheme="minorBidi" w:cstheme="minorBidi"/>
        </w:rPr>
        <w:t xml:space="preserve">forty-two active projects. </w:t>
      </w:r>
      <w:r w:rsidR="00397F6A" w:rsidRPr="000D7BAE">
        <w:rPr>
          <w:rFonts w:asciiTheme="minorBidi" w:hAnsiTheme="minorBidi" w:cstheme="minorBidi"/>
        </w:rPr>
        <w:t xml:space="preserve">In line with Recommendation 11 in the 2021 IOS Evaluation, activities were undertaken to increase the visibility of the mechanism. </w:t>
      </w:r>
      <w:r w:rsidR="006B298A" w:rsidRPr="000D7BAE">
        <w:rPr>
          <w:rFonts w:asciiTheme="minorBidi" w:hAnsiTheme="minorBidi" w:cstheme="minorBidi"/>
        </w:rPr>
        <w:t>A series of three global webinars was organi</w:t>
      </w:r>
      <w:r w:rsidR="004056BC" w:rsidRPr="000D7BAE">
        <w:rPr>
          <w:rFonts w:asciiTheme="minorBidi" w:hAnsiTheme="minorBidi" w:cstheme="minorBidi"/>
        </w:rPr>
        <w:t>z</w:t>
      </w:r>
      <w:r w:rsidR="006B298A" w:rsidRPr="000D7BAE">
        <w:rPr>
          <w:rFonts w:asciiTheme="minorBidi" w:hAnsiTheme="minorBidi" w:cstheme="minorBidi"/>
        </w:rPr>
        <w:t>ed in March 2022</w:t>
      </w:r>
      <w:r w:rsidR="004056BC" w:rsidRPr="000D7BAE">
        <w:rPr>
          <w:rFonts w:asciiTheme="minorBidi" w:hAnsiTheme="minorBidi" w:cstheme="minorBidi"/>
        </w:rPr>
        <w:t>, in</w:t>
      </w:r>
      <w:r w:rsidR="006B298A" w:rsidRPr="000D7BAE">
        <w:rPr>
          <w:rFonts w:asciiTheme="minorBidi" w:hAnsiTheme="minorBidi" w:cstheme="minorBidi"/>
        </w:rPr>
        <w:t xml:space="preserve"> different time zones</w:t>
      </w:r>
      <w:r w:rsidR="004056BC" w:rsidRPr="000D7BAE">
        <w:rPr>
          <w:rFonts w:asciiTheme="minorBidi" w:hAnsiTheme="minorBidi" w:cstheme="minorBidi"/>
        </w:rPr>
        <w:t>,</w:t>
      </w:r>
      <w:r w:rsidR="006B298A" w:rsidRPr="000D7BAE">
        <w:rPr>
          <w:rFonts w:asciiTheme="minorBidi" w:hAnsiTheme="minorBidi" w:cstheme="minorBidi"/>
        </w:rPr>
        <w:t xml:space="preserve"> to present the International Assistance mechanism to several stakeholders involved </w:t>
      </w:r>
      <w:r w:rsidR="004056BC" w:rsidRPr="000D7BAE">
        <w:rPr>
          <w:rFonts w:asciiTheme="minorBidi" w:hAnsiTheme="minorBidi" w:cstheme="minorBidi"/>
        </w:rPr>
        <w:t>in</w:t>
      </w:r>
      <w:r w:rsidR="006B298A" w:rsidRPr="000D7BAE">
        <w:rPr>
          <w:rFonts w:asciiTheme="minorBidi" w:hAnsiTheme="minorBidi" w:cstheme="minorBidi"/>
        </w:rPr>
        <w:t xml:space="preserve"> the safeguarding of living heritage</w:t>
      </w:r>
      <w:r w:rsidR="00006BDA" w:rsidRPr="000D7BAE">
        <w:rPr>
          <w:rFonts w:asciiTheme="minorBidi" w:hAnsiTheme="minorBidi" w:cstheme="minorBidi"/>
        </w:rPr>
        <w:t xml:space="preserve">. In addition, </w:t>
      </w:r>
      <w:r w:rsidR="00E50C64" w:rsidRPr="000D7BAE">
        <w:rPr>
          <w:rFonts w:asciiTheme="minorBidi" w:hAnsiTheme="minorBidi" w:cstheme="minorBidi"/>
        </w:rPr>
        <w:t>a</w:t>
      </w:r>
      <w:r w:rsidR="006B298A" w:rsidRPr="000D7BAE">
        <w:rPr>
          <w:rFonts w:asciiTheme="minorBidi" w:hAnsiTheme="minorBidi" w:cstheme="minorBidi"/>
        </w:rPr>
        <w:t xml:space="preserve"> side-event</w:t>
      </w:r>
      <w:r w:rsidR="00006BDA" w:rsidRPr="000D7BAE">
        <w:rPr>
          <w:rFonts w:asciiTheme="minorBidi" w:hAnsiTheme="minorBidi" w:cstheme="minorBidi"/>
        </w:rPr>
        <w:t xml:space="preserve"> on International Assistance was organi</w:t>
      </w:r>
      <w:r w:rsidR="004056BC" w:rsidRPr="000D7BAE">
        <w:rPr>
          <w:rFonts w:asciiTheme="minorBidi" w:hAnsiTheme="minorBidi" w:cstheme="minorBidi"/>
        </w:rPr>
        <w:t>z</w:t>
      </w:r>
      <w:r w:rsidR="00006BDA" w:rsidRPr="000D7BAE">
        <w:rPr>
          <w:rFonts w:asciiTheme="minorBidi" w:hAnsiTheme="minorBidi" w:cstheme="minorBidi"/>
        </w:rPr>
        <w:t>ed during</w:t>
      </w:r>
      <w:r w:rsidR="006B298A" w:rsidRPr="000D7BAE">
        <w:rPr>
          <w:rFonts w:asciiTheme="minorBidi" w:hAnsiTheme="minorBidi" w:cstheme="minorBidi"/>
        </w:rPr>
        <w:t xml:space="preserve"> the ninth session of the General Assembly. On these occasions, the </w:t>
      </w:r>
      <w:hyperlink r:id="rId31" w:history="1">
        <w:r w:rsidR="006B298A" w:rsidRPr="000D7BAE">
          <w:rPr>
            <w:rStyle w:val="Hyperlink"/>
            <w:rFonts w:asciiTheme="minorBidi" w:hAnsiTheme="minorBidi" w:cstheme="minorBidi"/>
          </w:rPr>
          <w:t>Toolkit</w:t>
        </w:r>
      </w:hyperlink>
      <w:r w:rsidR="006B298A" w:rsidRPr="000D7BAE">
        <w:rPr>
          <w:rFonts w:asciiTheme="minorBidi" w:hAnsiTheme="minorBidi" w:cstheme="minorBidi"/>
        </w:rPr>
        <w:t xml:space="preserve"> for requesting International Assistance prepared by the Secretariat in three languages was widely disseminated.</w:t>
      </w:r>
      <w:r w:rsidR="00274F9F" w:rsidRPr="000D7BAE">
        <w:rPr>
          <w:rFonts w:asciiTheme="minorBidi" w:hAnsiTheme="minorBidi" w:cstheme="minorBidi"/>
        </w:rPr>
        <w:t xml:space="preserve"> Reports of States Parties on the use of International Assistance</w:t>
      </w:r>
      <w:r w:rsidR="004056BC" w:rsidRPr="000D7BAE">
        <w:rPr>
          <w:rFonts w:asciiTheme="minorBidi" w:hAnsiTheme="minorBidi" w:cstheme="minorBidi"/>
        </w:rPr>
        <w:t>,</w:t>
      </w:r>
      <w:r w:rsidR="00274F9F" w:rsidRPr="000D7BAE">
        <w:rPr>
          <w:rFonts w:asciiTheme="minorBidi" w:hAnsiTheme="minorBidi" w:cstheme="minorBidi"/>
        </w:rPr>
        <w:t xml:space="preserve"> presented to the present session of the </w:t>
      </w:r>
      <w:r w:rsidR="00274F9F" w:rsidRPr="00A4713D">
        <w:rPr>
          <w:rFonts w:asciiTheme="minorBidi" w:hAnsiTheme="minorBidi" w:cstheme="minorBidi"/>
        </w:rPr>
        <w:t>Committee under the Item 6.d</w:t>
      </w:r>
      <w:r w:rsidR="004056BC" w:rsidRPr="00A4713D">
        <w:rPr>
          <w:rFonts w:asciiTheme="minorBidi" w:hAnsiTheme="minorBidi" w:cstheme="minorBidi"/>
        </w:rPr>
        <w:t>,</w:t>
      </w:r>
      <w:r w:rsidR="00274F9F" w:rsidRPr="00A4713D">
        <w:rPr>
          <w:rFonts w:asciiTheme="minorBidi" w:hAnsiTheme="minorBidi" w:cstheme="minorBidi"/>
        </w:rPr>
        <w:t xml:space="preserve"> includes activities implemented with the backstopping of the Secretariat, both at Headquarters and </w:t>
      </w:r>
      <w:r w:rsidR="004056BC" w:rsidRPr="00A4713D">
        <w:rPr>
          <w:rFonts w:asciiTheme="minorBidi" w:hAnsiTheme="minorBidi" w:cstheme="minorBidi"/>
        </w:rPr>
        <w:t>in</w:t>
      </w:r>
      <w:r w:rsidR="00274F9F" w:rsidRPr="00A4713D">
        <w:rPr>
          <w:rFonts w:asciiTheme="minorBidi" w:hAnsiTheme="minorBidi" w:cstheme="minorBidi"/>
        </w:rPr>
        <w:t xml:space="preserve"> Field Offices (see </w:t>
      </w:r>
      <w:r w:rsidR="00274F9F" w:rsidRPr="00E961E4">
        <w:rPr>
          <w:rFonts w:asciiTheme="minorBidi" w:hAnsiTheme="minorBidi" w:cstheme="minorBidi"/>
        </w:rPr>
        <w:t xml:space="preserve">document </w:t>
      </w:r>
      <w:hyperlink r:id="rId32" w:history="1">
        <w:r w:rsidR="00274F9F" w:rsidRPr="00E961E4">
          <w:rPr>
            <w:rStyle w:val="Hyperlink"/>
            <w:rFonts w:asciiTheme="minorBidi" w:hAnsiTheme="minorBidi" w:cstheme="minorBidi"/>
          </w:rPr>
          <w:t>LHE/22/17.COM/6.d</w:t>
        </w:r>
      </w:hyperlink>
      <w:r w:rsidR="00274F9F" w:rsidRPr="00A4713D">
        <w:rPr>
          <w:rFonts w:asciiTheme="minorBidi" w:hAnsiTheme="minorBidi" w:cstheme="minorBidi"/>
        </w:rPr>
        <w:t>).</w:t>
      </w:r>
      <w:r w:rsidR="00327DC5" w:rsidRPr="000D7BAE">
        <w:rPr>
          <w:rFonts w:asciiTheme="minorBidi" w:hAnsiTheme="minorBidi" w:cstheme="minorBidi"/>
        </w:rPr>
        <w:t xml:space="preserve"> Furthermore, </w:t>
      </w:r>
      <w:r w:rsidR="002239B0" w:rsidRPr="000D7BAE">
        <w:rPr>
          <w:rFonts w:asciiTheme="minorBidi" w:hAnsiTheme="minorBidi" w:cstheme="minorBidi"/>
        </w:rPr>
        <w:t xml:space="preserve">the </w:t>
      </w:r>
      <w:r w:rsidR="002239B0" w:rsidRPr="000D7BAE">
        <w:rPr>
          <w:rFonts w:asciiTheme="minorBidi" w:hAnsiTheme="minorBidi" w:cstheme="minorBidi"/>
        </w:rPr>
        <w:lastRenderedPageBreak/>
        <w:t xml:space="preserve">Secretariat’s proposal for </w:t>
      </w:r>
      <w:r w:rsidR="004056BC" w:rsidRPr="000D7BAE">
        <w:rPr>
          <w:rFonts w:asciiTheme="minorBidi" w:hAnsiTheme="minorBidi" w:cstheme="minorBidi"/>
        </w:rPr>
        <w:t xml:space="preserve">the </w:t>
      </w:r>
      <w:r w:rsidR="002239B0" w:rsidRPr="000D7BAE">
        <w:rPr>
          <w:rFonts w:asciiTheme="minorBidi" w:hAnsiTheme="minorBidi" w:cstheme="minorBidi"/>
        </w:rPr>
        <w:t xml:space="preserve">monitoring, evaluation and identification of lessons learnt from International </w:t>
      </w:r>
      <w:r w:rsidR="001F233F" w:rsidRPr="000D7BAE">
        <w:rPr>
          <w:rFonts w:asciiTheme="minorBidi" w:hAnsiTheme="minorBidi" w:cstheme="minorBidi"/>
        </w:rPr>
        <w:t>Assistance</w:t>
      </w:r>
      <w:r w:rsidR="002239B0" w:rsidRPr="000D7BAE">
        <w:rPr>
          <w:rFonts w:asciiTheme="minorBidi" w:hAnsiTheme="minorBidi" w:cstheme="minorBidi"/>
        </w:rPr>
        <w:t xml:space="preserve"> projects is presented for </w:t>
      </w:r>
      <w:r w:rsidR="002239B0" w:rsidRPr="00A4713D">
        <w:rPr>
          <w:rFonts w:asciiTheme="minorBidi" w:hAnsiTheme="minorBidi" w:cstheme="minorBidi"/>
        </w:rPr>
        <w:t xml:space="preserve">examination by the present session of the Committee under Item 11 (see </w:t>
      </w:r>
      <w:r w:rsidR="002239B0" w:rsidRPr="00E961E4">
        <w:rPr>
          <w:rFonts w:asciiTheme="minorBidi" w:hAnsiTheme="minorBidi" w:cstheme="minorBidi"/>
        </w:rPr>
        <w:t xml:space="preserve">document </w:t>
      </w:r>
      <w:hyperlink r:id="rId33" w:history="1">
        <w:r w:rsidR="002239B0" w:rsidRPr="00E961E4">
          <w:rPr>
            <w:rStyle w:val="Hyperlink"/>
            <w:rFonts w:asciiTheme="minorBidi" w:hAnsiTheme="minorBidi" w:cstheme="minorBidi"/>
          </w:rPr>
          <w:t>LHE/22/17.COM/11</w:t>
        </w:r>
      </w:hyperlink>
      <w:r w:rsidR="002239B0" w:rsidRPr="00A4713D">
        <w:rPr>
          <w:rFonts w:asciiTheme="minorBidi" w:hAnsiTheme="minorBidi" w:cstheme="minorBidi"/>
        </w:rPr>
        <w:t>).</w:t>
      </w:r>
    </w:p>
    <w:p w14:paraId="070230C2" w14:textId="7CB5536B" w:rsidR="006E291D" w:rsidRPr="00A4713D" w:rsidRDefault="00EE11E8" w:rsidP="00370292">
      <w:pPr>
        <w:pStyle w:val="GAPara"/>
        <w:numPr>
          <w:ilvl w:val="0"/>
          <w:numId w:val="6"/>
        </w:numPr>
        <w:ind w:left="567" w:hanging="567"/>
        <w:jc w:val="both"/>
        <w:rPr>
          <w:rFonts w:asciiTheme="minorBidi" w:hAnsiTheme="minorBidi" w:cstheme="minorBidi"/>
          <w:b/>
          <w:bCs/>
        </w:rPr>
      </w:pPr>
      <w:r w:rsidRPr="00A4713D">
        <w:rPr>
          <w:rFonts w:asciiTheme="minorBidi" w:hAnsiTheme="minorBidi" w:cstheme="minorBidi"/>
          <w:b/>
          <w:bCs/>
        </w:rPr>
        <w:t>Accredited non-governmental organizations</w:t>
      </w:r>
      <w:r w:rsidRPr="00A4713D">
        <w:rPr>
          <w:rFonts w:asciiTheme="minorBidi" w:hAnsiTheme="minorBidi" w:cstheme="minorBidi"/>
        </w:rPr>
        <w:t xml:space="preserve"> </w:t>
      </w:r>
      <w:r w:rsidR="00CB6BF1" w:rsidRPr="00E961E4">
        <w:rPr>
          <w:rFonts w:asciiTheme="minorBidi" w:hAnsiTheme="minorBidi" w:cstheme="minorBidi"/>
        </w:rPr>
        <w:t>:</w:t>
      </w:r>
      <w:r w:rsidR="0094531E" w:rsidRPr="00E961E4">
        <w:rPr>
          <w:rFonts w:asciiTheme="minorBidi" w:hAnsiTheme="minorBidi" w:cstheme="minorBidi"/>
        </w:rPr>
        <w:t xml:space="preserve"> </w:t>
      </w:r>
      <w:r w:rsidR="00EC3424" w:rsidRPr="00A4713D">
        <w:rPr>
          <w:rFonts w:asciiTheme="minorBidi" w:hAnsiTheme="minorBidi" w:cstheme="minorBidi"/>
        </w:rPr>
        <w:t>T</w:t>
      </w:r>
      <w:r w:rsidR="00A32F3E" w:rsidRPr="00A4713D">
        <w:rPr>
          <w:rFonts w:asciiTheme="minorBidi" w:hAnsiTheme="minorBidi" w:cstheme="minorBidi"/>
        </w:rPr>
        <w:t>he ninth</w:t>
      </w:r>
      <w:r w:rsidR="00A32F3E" w:rsidRPr="000D7BAE">
        <w:rPr>
          <w:rFonts w:asciiTheme="minorBidi" w:hAnsiTheme="minorBidi" w:cstheme="minorBidi"/>
        </w:rPr>
        <w:t xml:space="preserve"> session of the General Assembly accredited </w:t>
      </w:r>
      <w:r w:rsidR="004056BC" w:rsidRPr="000D7BAE">
        <w:t>33</w:t>
      </w:r>
      <w:r w:rsidR="00A32F3E" w:rsidRPr="000D7BAE">
        <w:t xml:space="preserve"> </w:t>
      </w:r>
      <w:r w:rsidR="00A32F3E" w:rsidRPr="000D7BAE">
        <w:rPr>
          <w:rFonts w:asciiTheme="minorBidi" w:hAnsiTheme="minorBidi" w:cstheme="minorBidi"/>
        </w:rPr>
        <w:t>new non-governmental organizations (NGO</w:t>
      </w:r>
      <w:r w:rsidR="004056BC" w:rsidRPr="000D7BAE">
        <w:rPr>
          <w:rFonts w:asciiTheme="minorBidi" w:hAnsiTheme="minorBidi" w:cstheme="minorBidi"/>
        </w:rPr>
        <w:t>s</w:t>
      </w:r>
      <w:r w:rsidR="00A32F3E" w:rsidRPr="000D7BAE">
        <w:rPr>
          <w:rFonts w:asciiTheme="minorBidi" w:hAnsiTheme="minorBidi" w:cstheme="minorBidi"/>
        </w:rPr>
        <w:t xml:space="preserve">) to act in an advisory capacity to the Committee, bringing the total </w:t>
      </w:r>
      <w:r w:rsidR="004056BC" w:rsidRPr="000D7BAE">
        <w:rPr>
          <w:rFonts w:asciiTheme="minorBidi" w:hAnsiTheme="minorBidi" w:cstheme="minorBidi"/>
        </w:rPr>
        <w:t xml:space="preserve">number </w:t>
      </w:r>
      <w:r w:rsidR="00A32F3E" w:rsidRPr="000D7BAE">
        <w:rPr>
          <w:rFonts w:asciiTheme="minorBidi" w:hAnsiTheme="minorBidi" w:cstheme="minorBidi"/>
        </w:rPr>
        <w:t xml:space="preserve">of accredited NGOs to 217 (Resolution </w:t>
      </w:r>
      <w:hyperlink r:id="rId34" w:history="1">
        <w:r w:rsidR="00A32F3E" w:rsidRPr="000D7BAE">
          <w:rPr>
            <w:rStyle w:val="Hyperlink"/>
            <w:rFonts w:asciiTheme="minorBidi" w:hAnsiTheme="minorBidi" w:cstheme="minorBidi"/>
          </w:rPr>
          <w:t>9.GA.7</w:t>
        </w:r>
      </w:hyperlink>
      <w:r w:rsidR="00A32F3E" w:rsidRPr="000D7BAE">
        <w:rPr>
          <w:rFonts w:asciiTheme="minorBidi" w:hAnsiTheme="minorBidi" w:cstheme="minorBidi"/>
        </w:rPr>
        <w:t xml:space="preserve">). The ICH NGO Forum and the Secretariat strengthened their collaboration by conducting a mapping of the domains of </w:t>
      </w:r>
      <w:r w:rsidR="00A32F3E" w:rsidRPr="00A4713D">
        <w:rPr>
          <w:rFonts w:asciiTheme="minorBidi" w:hAnsiTheme="minorBidi" w:cstheme="minorBidi"/>
        </w:rPr>
        <w:t xml:space="preserve">competencies of accredited NGOs. This exercise </w:t>
      </w:r>
      <w:r w:rsidR="004056BC" w:rsidRPr="00A4713D">
        <w:rPr>
          <w:rFonts w:asciiTheme="minorBidi" w:hAnsiTheme="minorBidi" w:cstheme="minorBidi"/>
        </w:rPr>
        <w:t xml:space="preserve">helps </w:t>
      </w:r>
      <w:r w:rsidR="00A32F3E" w:rsidRPr="00A4713D">
        <w:rPr>
          <w:rFonts w:asciiTheme="minorBidi" w:hAnsiTheme="minorBidi" w:cstheme="minorBidi"/>
        </w:rPr>
        <w:t xml:space="preserve">to identify </w:t>
      </w:r>
      <w:r w:rsidR="004056BC" w:rsidRPr="00A4713D">
        <w:rPr>
          <w:rFonts w:asciiTheme="minorBidi" w:hAnsiTheme="minorBidi" w:cstheme="minorBidi"/>
        </w:rPr>
        <w:t xml:space="preserve">the </w:t>
      </w:r>
      <w:r w:rsidR="00A32F3E" w:rsidRPr="00A4713D">
        <w:rPr>
          <w:rFonts w:asciiTheme="minorBidi" w:hAnsiTheme="minorBidi" w:cstheme="minorBidi"/>
        </w:rPr>
        <w:t xml:space="preserve">ways </w:t>
      </w:r>
      <w:r w:rsidR="004056BC" w:rsidRPr="00A4713D">
        <w:rPr>
          <w:rFonts w:asciiTheme="minorBidi" w:hAnsiTheme="minorBidi" w:cstheme="minorBidi"/>
        </w:rPr>
        <w:t>in</w:t>
      </w:r>
      <w:r w:rsidR="00A32F3E" w:rsidRPr="00A4713D">
        <w:rPr>
          <w:rFonts w:asciiTheme="minorBidi" w:hAnsiTheme="minorBidi" w:cstheme="minorBidi"/>
        </w:rPr>
        <w:t xml:space="preserve"> which accredited NGOs </w:t>
      </w:r>
      <w:r w:rsidR="004056BC" w:rsidRPr="00A4713D">
        <w:rPr>
          <w:rFonts w:asciiTheme="minorBidi" w:hAnsiTheme="minorBidi" w:cstheme="minorBidi"/>
        </w:rPr>
        <w:t>could</w:t>
      </w:r>
      <w:r w:rsidR="00A32F3E" w:rsidRPr="00A4713D">
        <w:rPr>
          <w:rFonts w:asciiTheme="minorBidi" w:hAnsiTheme="minorBidi" w:cstheme="minorBidi"/>
        </w:rPr>
        <w:t xml:space="preserve"> provide advisory services to the Committee, while facilitating potential cooperation between accredited NGOs and States Parties. A report by the ICH NGO Forum</w:t>
      </w:r>
      <w:r w:rsidR="00C41E95" w:rsidRPr="00A4713D">
        <w:rPr>
          <w:rFonts w:asciiTheme="minorBidi" w:hAnsiTheme="minorBidi" w:cstheme="minorBidi"/>
        </w:rPr>
        <w:t xml:space="preserve"> (</w:t>
      </w:r>
      <w:r w:rsidR="00C41E95" w:rsidRPr="00A4713D">
        <w:t xml:space="preserve">document </w:t>
      </w:r>
      <w:hyperlink r:id="rId35" w:history="1">
        <w:r w:rsidR="00C41E95" w:rsidRPr="00E961E4">
          <w:rPr>
            <w:rStyle w:val="Hyperlink"/>
            <w:rFonts w:cs="Arial"/>
          </w:rPr>
          <w:t>LHE/22/17.COM/</w:t>
        </w:r>
        <w:r w:rsidR="00927DBB" w:rsidRPr="00E961E4">
          <w:rPr>
            <w:rStyle w:val="Hyperlink"/>
            <w:rFonts w:cs="Arial"/>
          </w:rPr>
          <w:t>9</w:t>
        </w:r>
      </w:hyperlink>
      <w:r w:rsidR="00C41E95" w:rsidRPr="00A4713D">
        <w:t>)</w:t>
      </w:r>
      <w:r w:rsidR="00A32F3E" w:rsidRPr="00A4713D">
        <w:rPr>
          <w:rFonts w:asciiTheme="minorBidi" w:hAnsiTheme="minorBidi" w:cstheme="minorBidi"/>
        </w:rPr>
        <w:t xml:space="preserve">, which will be examined </w:t>
      </w:r>
      <w:r w:rsidR="00381B48" w:rsidRPr="00A4713D">
        <w:rPr>
          <w:rFonts w:asciiTheme="minorBidi" w:hAnsiTheme="minorBidi" w:cstheme="minorBidi"/>
        </w:rPr>
        <w:t xml:space="preserve">by </w:t>
      </w:r>
      <w:r w:rsidR="00A32F3E" w:rsidRPr="00A4713D">
        <w:rPr>
          <w:rFonts w:asciiTheme="minorBidi" w:hAnsiTheme="minorBidi" w:cstheme="minorBidi"/>
        </w:rPr>
        <w:t>the present session</w:t>
      </w:r>
      <w:r w:rsidR="00381B48" w:rsidRPr="00A4713D">
        <w:rPr>
          <w:rFonts w:asciiTheme="minorBidi" w:hAnsiTheme="minorBidi" w:cstheme="minorBidi"/>
        </w:rPr>
        <w:t xml:space="preserve"> of the Committee under Item 9 of the provisional agenda</w:t>
      </w:r>
      <w:r w:rsidR="00A32F3E" w:rsidRPr="00A4713D">
        <w:rPr>
          <w:rFonts w:asciiTheme="minorBidi" w:hAnsiTheme="minorBidi" w:cstheme="minorBidi"/>
        </w:rPr>
        <w:t>, provide</w:t>
      </w:r>
      <w:r w:rsidR="00445E19" w:rsidRPr="00A4713D">
        <w:rPr>
          <w:rFonts w:asciiTheme="minorBidi" w:hAnsiTheme="minorBidi" w:cstheme="minorBidi"/>
        </w:rPr>
        <w:t>s</w:t>
      </w:r>
      <w:r w:rsidR="00A32F3E" w:rsidRPr="00A4713D">
        <w:rPr>
          <w:rFonts w:asciiTheme="minorBidi" w:hAnsiTheme="minorBidi" w:cstheme="minorBidi"/>
        </w:rPr>
        <w:t xml:space="preserve"> further details on the </w:t>
      </w:r>
      <w:r w:rsidR="00314FE1" w:rsidRPr="00A4713D">
        <w:rPr>
          <w:rFonts w:asciiTheme="minorBidi" w:hAnsiTheme="minorBidi" w:cstheme="minorBidi"/>
        </w:rPr>
        <w:t>initiative</w:t>
      </w:r>
      <w:r w:rsidR="00A32F3E" w:rsidRPr="00A4713D">
        <w:rPr>
          <w:rFonts w:asciiTheme="minorBidi" w:hAnsiTheme="minorBidi" w:cstheme="minorBidi"/>
        </w:rPr>
        <w:t>.</w:t>
      </w:r>
    </w:p>
    <w:p w14:paraId="3CC1AA25" w14:textId="2F65BC11" w:rsidR="006E291D" w:rsidRPr="00A4713D" w:rsidRDefault="006E291D" w:rsidP="00370292">
      <w:pPr>
        <w:pStyle w:val="GAPara"/>
        <w:numPr>
          <w:ilvl w:val="0"/>
          <w:numId w:val="6"/>
        </w:numPr>
        <w:ind w:left="567" w:hanging="567"/>
        <w:jc w:val="both"/>
        <w:rPr>
          <w:rFonts w:asciiTheme="minorBidi" w:hAnsiTheme="minorBidi" w:cstheme="minorBidi"/>
          <w:b/>
          <w:bCs/>
        </w:rPr>
      </w:pPr>
      <w:r w:rsidRPr="00A4713D">
        <w:rPr>
          <w:rFonts w:asciiTheme="minorBidi" w:hAnsiTheme="minorBidi" w:cstheme="minorBidi"/>
          <w:b/>
          <w:bCs/>
        </w:rPr>
        <w:t>Thematic</w:t>
      </w:r>
      <w:r w:rsidRPr="00A4713D">
        <w:rPr>
          <w:b/>
          <w:bCs/>
        </w:rPr>
        <w:t xml:space="preserve"> initiatives </w:t>
      </w:r>
      <w:r w:rsidRPr="00E961E4">
        <w:t>:</w:t>
      </w:r>
      <w:r w:rsidRPr="008C1775">
        <w:t xml:space="preserve"> </w:t>
      </w:r>
      <w:r w:rsidR="00EC3424" w:rsidRPr="008C1775">
        <w:t>I</w:t>
      </w:r>
      <w:r w:rsidRPr="00A4713D">
        <w:t xml:space="preserve">n line with UNESCO’s Medium-Term Strategy for 2022–2029 (41C/4), the Operational Directives of the Convention (Chapter VI) and </w:t>
      </w:r>
      <w:r w:rsidR="00065C38" w:rsidRPr="00A4713D">
        <w:t xml:space="preserve">the </w:t>
      </w:r>
      <w:r w:rsidRPr="00A4713D">
        <w:t>Committee’s previous decisions</w:t>
      </w:r>
      <w:r w:rsidR="00B51494" w:rsidRPr="00A4713D">
        <w:t xml:space="preserve">, </w:t>
      </w:r>
      <w:r w:rsidRPr="00A4713D">
        <w:t xml:space="preserve">the Secretariat </w:t>
      </w:r>
      <w:r w:rsidR="00B51494" w:rsidRPr="00A4713D">
        <w:t xml:space="preserve">continued </w:t>
      </w:r>
      <w:r w:rsidRPr="00A4713D">
        <w:t xml:space="preserve">to develop a comprehensive approach to intangible cultural heritage safeguarding and sustainable development and </w:t>
      </w:r>
      <w:r w:rsidRPr="00A4713D">
        <w:rPr>
          <w:snapToGrid/>
        </w:rPr>
        <w:t>identif</w:t>
      </w:r>
      <w:r w:rsidR="00B51494" w:rsidRPr="00A4713D">
        <w:rPr>
          <w:snapToGrid/>
        </w:rPr>
        <w:t xml:space="preserve">ied three </w:t>
      </w:r>
      <w:r w:rsidR="007B4009" w:rsidRPr="00A4713D">
        <w:rPr>
          <w:snapToGrid/>
        </w:rPr>
        <w:t xml:space="preserve">thematic </w:t>
      </w:r>
      <w:r w:rsidRPr="00A4713D">
        <w:rPr>
          <w:snapToGrid/>
        </w:rPr>
        <w:t>areas for action</w:t>
      </w:r>
      <w:r w:rsidRPr="00A4713D">
        <w:t xml:space="preserve">: </w:t>
      </w:r>
      <w:proofErr w:type="spellStart"/>
      <w:r w:rsidRPr="00A4713D">
        <w:t>i</w:t>
      </w:r>
      <w:proofErr w:type="spellEnd"/>
      <w:r w:rsidRPr="00A4713D">
        <w:t>)</w:t>
      </w:r>
      <w:r w:rsidR="00FC2D19" w:rsidRPr="00A4713D">
        <w:t> </w:t>
      </w:r>
      <w:r w:rsidR="00381B48" w:rsidRPr="00A4713D">
        <w:t xml:space="preserve">the economic dimension of safeguarding </w:t>
      </w:r>
      <w:r w:rsidR="00381B48" w:rsidRPr="00A4713D">
        <w:rPr>
          <w:rFonts w:asciiTheme="minorBidi" w:hAnsiTheme="minorBidi" w:cstheme="minorBidi"/>
        </w:rPr>
        <w:t>intangible</w:t>
      </w:r>
      <w:r w:rsidR="00381B48" w:rsidRPr="00A4713D">
        <w:t xml:space="preserve"> cultural heritage</w:t>
      </w:r>
      <w:r w:rsidR="00065C38" w:rsidRPr="00A4713D">
        <w:t>;</w:t>
      </w:r>
      <w:r w:rsidR="00381B48" w:rsidRPr="00A4713D">
        <w:t xml:space="preserve"> ii)</w:t>
      </w:r>
      <w:r w:rsidR="00381B48" w:rsidRPr="00A4713D">
        <w:rPr>
          <w:rFonts w:asciiTheme="minorBidi" w:hAnsiTheme="minorBidi" w:cstheme="minorBidi"/>
        </w:rPr>
        <w:t xml:space="preserve"> </w:t>
      </w:r>
      <w:r w:rsidRPr="00A4713D">
        <w:rPr>
          <w:rFonts w:asciiTheme="minorBidi" w:hAnsiTheme="minorBidi" w:cstheme="minorBidi"/>
        </w:rPr>
        <w:t>safeguarding</w:t>
      </w:r>
      <w:r w:rsidRPr="00A4713D">
        <w:t xml:space="preserve"> intangible cultural heritage and climate change</w:t>
      </w:r>
      <w:r w:rsidR="00065C38" w:rsidRPr="00A4713D">
        <w:t>;</w:t>
      </w:r>
      <w:r w:rsidRPr="00A4713D">
        <w:t xml:space="preserve"> and iii)</w:t>
      </w:r>
      <w:r w:rsidR="00FC2D19" w:rsidRPr="00A4713D">
        <w:t> </w:t>
      </w:r>
      <w:r w:rsidRPr="00A4713D">
        <w:t>safeguarding intangible cultural heritage in urban contexts.</w:t>
      </w:r>
      <w:r w:rsidR="00FC2D19" w:rsidRPr="00A4713D">
        <w:t xml:space="preserve"> An update on these initiatives is presented to the present session of the Committee under Item 13 of the provisional agenda (</w:t>
      </w:r>
      <w:r w:rsidR="00A4713D" w:rsidRPr="00A4713D">
        <w:t>document </w:t>
      </w:r>
      <w:hyperlink r:id="rId36" w:history="1">
        <w:r w:rsidRPr="00E961E4">
          <w:rPr>
            <w:rStyle w:val="Hyperlink"/>
            <w:rFonts w:cs="Arial"/>
          </w:rPr>
          <w:t>LHE/22/17.COM/13</w:t>
        </w:r>
      </w:hyperlink>
      <w:r w:rsidR="00FC2D19" w:rsidRPr="00A4713D">
        <w:t>).</w:t>
      </w:r>
    </w:p>
    <w:p w14:paraId="02E7BFCF" w14:textId="0DFF7FF3" w:rsidR="00350D35" w:rsidRPr="000D7BAE" w:rsidRDefault="00350D35" w:rsidP="00370292">
      <w:pPr>
        <w:pStyle w:val="GAPara"/>
        <w:numPr>
          <w:ilvl w:val="0"/>
          <w:numId w:val="6"/>
        </w:numPr>
        <w:ind w:left="567" w:hanging="567"/>
        <w:jc w:val="both"/>
        <w:rPr>
          <w:rFonts w:asciiTheme="minorBidi" w:hAnsiTheme="minorBidi" w:cstheme="minorBidi"/>
        </w:rPr>
      </w:pPr>
      <w:r w:rsidRPr="00A4713D">
        <w:rPr>
          <w:rFonts w:asciiTheme="minorBidi" w:hAnsiTheme="minorBidi" w:cstheme="minorBidi"/>
          <w:b/>
          <w:bCs/>
        </w:rPr>
        <w:t>Anniversary of the Convention</w:t>
      </w:r>
      <w:r w:rsidRPr="00E961E4">
        <w:rPr>
          <w:rFonts w:asciiTheme="minorBidi" w:hAnsiTheme="minorBidi" w:cstheme="minorBidi"/>
        </w:rPr>
        <w:t>:</w:t>
      </w:r>
      <w:r w:rsidR="00607871" w:rsidRPr="00A4713D">
        <w:rPr>
          <w:rFonts w:asciiTheme="minorBidi" w:hAnsiTheme="minorBidi" w:cstheme="minorBidi"/>
          <w:b/>
          <w:bCs/>
        </w:rPr>
        <w:t xml:space="preserve"> </w:t>
      </w:r>
      <w:r w:rsidR="00EC3424" w:rsidRPr="00A4713D">
        <w:rPr>
          <w:rFonts w:asciiTheme="minorBidi" w:hAnsiTheme="minorBidi" w:cstheme="minorBidi"/>
        </w:rPr>
        <w:t>P</w:t>
      </w:r>
      <w:r w:rsidR="00607871" w:rsidRPr="00A4713D">
        <w:rPr>
          <w:rFonts w:asciiTheme="minorBidi" w:hAnsiTheme="minorBidi" w:cstheme="minorBidi"/>
        </w:rPr>
        <w:t>reparatory activities to</w:t>
      </w:r>
      <w:r w:rsidRPr="00A4713D">
        <w:rPr>
          <w:rFonts w:asciiTheme="minorBidi" w:hAnsiTheme="minorBidi" w:cstheme="minorBidi"/>
        </w:rPr>
        <w:t xml:space="preserve"> celebrate the twentieth anniversary of the Convention in 2023 </w:t>
      </w:r>
      <w:r w:rsidR="00607871" w:rsidRPr="00A4713D">
        <w:rPr>
          <w:rFonts w:asciiTheme="minorBidi" w:hAnsiTheme="minorBidi" w:cstheme="minorBidi"/>
        </w:rPr>
        <w:t>continued during</w:t>
      </w:r>
      <w:r w:rsidR="00607871" w:rsidRPr="000D7BAE">
        <w:rPr>
          <w:rFonts w:asciiTheme="minorBidi" w:hAnsiTheme="minorBidi" w:cstheme="minorBidi"/>
        </w:rPr>
        <w:t xml:space="preserve"> the reporting period, in line with the</w:t>
      </w:r>
      <w:r w:rsidRPr="000D7BAE">
        <w:rPr>
          <w:rFonts w:asciiTheme="minorBidi" w:hAnsiTheme="minorBidi" w:cstheme="minorBidi"/>
        </w:rPr>
        <w:t xml:space="preserve"> </w:t>
      </w:r>
      <w:r w:rsidR="00BD2DB2" w:rsidRPr="000D7BAE">
        <w:rPr>
          <w:rFonts w:asciiTheme="minorBidi" w:hAnsiTheme="minorBidi" w:cstheme="minorBidi"/>
        </w:rPr>
        <w:t xml:space="preserve">proposed </w:t>
      </w:r>
      <w:r w:rsidRPr="000D7BAE">
        <w:rPr>
          <w:rFonts w:asciiTheme="minorBidi" w:hAnsiTheme="minorBidi" w:cstheme="minorBidi"/>
        </w:rPr>
        <w:t xml:space="preserve">themes </w:t>
      </w:r>
      <w:r w:rsidR="00BD2DB2" w:rsidRPr="000D7BAE">
        <w:rPr>
          <w:rFonts w:asciiTheme="minorBidi" w:hAnsiTheme="minorBidi" w:cstheme="minorBidi"/>
        </w:rPr>
        <w:t xml:space="preserve">which were noted by </w:t>
      </w:r>
      <w:r w:rsidR="00607871" w:rsidRPr="000D7BAE">
        <w:rPr>
          <w:rFonts w:asciiTheme="minorBidi" w:hAnsiTheme="minorBidi" w:cstheme="minorBidi"/>
        </w:rPr>
        <w:t xml:space="preserve">the </w:t>
      </w:r>
      <w:r w:rsidR="00505803" w:rsidRPr="000D7BAE">
        <w:rPr>
          <w:rFonts w:asciiTheme="minorBidi" w:hAnsiTheme="minorBidi" w:cstheme="minorBidi"/>
        </w:rPr>
        <w:t>ninth</w:t>
      </w:r>
      <w:r w:rsidR="00607871" w:rsidRPr="000D7BAE">
        <w:rPr>
          <w:rFonts w:asciiTheme="minorBidi" w:hAnsiTheme="minorBidi" w:cstheme="minorBidi"/>
        </w:rPr>
        <w:t xml:space="preserve"> session of the General Assembly</w:t>
      </w:r>
      <w:r w:rsidR="00BD2DB2" w:rsidRPr="000D7BAE">
        <w:rPr>
          <w:rFonts w:asciiTheme="minorBidi" w:hAnsiTheme="minorBidi" w:cstheme="minorBidi"/>
        </w:rPr>
        <w:t xml:space="preserve"> (Resolution </w:t>
      </w:r>
      <w:hyperlink r:id="rId37" w:history="1">
        <w:r w:rsidR="00BD2DB2" w:rsidRPr="000D7BAE">
          <w:rPr>
            <w:rStyle w:val="Hyperlink"/>
            <w:rFonts w:asciiTheme="minorBidi" w:hAnsiTheme="minorBidi" w:cstheme="minorBidi"/>
          </w:rPr>
          <w:t>9.GA 13</w:t>
        </w:r>
      </w:hyperlink>
      <w:r w:rsidR="00BD2DB2" w:rsidRPr="000D7BAE">
        <w:rPr>
          <w:rFonts w:asciiTheme="minorBidi" w:hAnsiTheme="minorBidi" w:cstheme="minorBidi"/>
        </w:rPr>
        <w:t xml:space="preserve">; document </w:t>
      </w:r>
      <w:hyperlink r:id="rId38" w:history="1">
        <w:r w:rsidR="00BD2DB2" w:rsidRPr="000D7BAE">
          <w:rPr>
            <w:rStyle w:val="Hyperlink"/>
            <w:rFonts w:asciiTheme="minorBidi" w:hAnsiTheme="minorBidi" w:cstheme="minorBidi"/>
          </w:rPr>
          <w:t>LHE/22/9.GA/13</w:t>
        </w:r>
      </w:hyperlink>
      <w:r w:rsidR="00BD2DB2" w:rsidRPr="000D7BAE">
        <w:rPr>
          <w:rFonts w:asciiTheme="minorBidi" w:hAnsiTheme="minorBidi" w:cstheme="minorBidi"/>
        </w:rPr>
        <w:t>)</w:t>
      </w:r>
      <w:r w:rsidR="00607871" w:rsidRPr="000D7BAE">
        <w:rPr>
          <w:rFonts w:asciiTheme="minorBidi" w:hAnsiTheme="minorBidi" w:cstheme="minorBidi"/>
        </w:rPr>
        <w:t xml:space="preserve">. </w:t>
      </w:r>
      <w:r w:rsidR="00065C38" w:rsidRPr="000D7BAE">
        <w:rPr>
          <w:rFonts w:asciiTheme="minorBidi" w:hAnsiTheme="minorBidi" w:cstheme="minorBidi"/>
        </w:rPr>
        <w:t>The i</w:t>
      </w:r>
      <w:r w:rsidR="004549DA" w:rsidRPr="000D7BAE">
        <w:rPr>
          <w:rFonts w:asciiTheme="minorBidi" w:hAnsiTheme="minorBidi" w:cstheme="minorBidi"/>
        </w:rPr>
        <w:t>dentification of partnerships and</w:t>
      </w:r>
      <w:r w:rsidR="00505803" w:rsidRPr="000D7BAE">
        <w:rPr>
          <w:rFonts w:asciiTheme="minorBidi" w:hAnsiTheme="minorBidi" w:cstheme="minorBidi"/>
        </w:rPr>
        <w:t xml:space="preserve"> financial support</w:t>
      </w:r>
      <w:r w:rsidRPr="000D7BAE">
        <w:rPr>
          <w:rFonts w:asciiTheme="minorBidi" w:hAnsiTheme="minorBidi" w:cstheme="minorBidi"/>
        </w:rPr>
        <w:t xml:space="preserve"> for the campaign </w:t>
      </w:r>
      <w:r w:rsidR="00505803" w:rsidRPr="000D7BAE">
        <w:rPr>
          <w:rFonts w:asciiTheme="minorBidi" w:hAnsiTheme="minorBidi" w:cstheme="minorBidi"/>
        </w:rPr>
        <w:t>and the organization of events and activities</w:t>
      </w:r>
      <w:r w:rsidR="004549DA" w:rsidRPr="000D7BAE">
        <w:rPr>
          <w:rFonts w:asciiTheme="minorBidi" w:hAnsiTheme="minorBidi" w:cstheme="minorBidi"/>
        </w:rPr>
        <w:t xml:space="preserve"> </w:t>
      </w:r>
      <w:r w:rsidR="00065C38" w:rsidRPr="000D7BAE">
        <w:rPr>
          <w:rFonts w:asciiTheme="minorBidi" w:hAnsiTheme="minorBidi" w:cstheme="minorBidi"/>
        </w:rPr>
        <w:t xml:space="preserve">are </w:t>
      </w:r>
      <w:r w:rsidR="004549DA" w:rsidRPr="000D7BAE">
        <w:rPr>
          <w:rFonts w:asciiTheme="minorBidi" w:hAnsiTheme="minorBidi" w:cstheme="minorBidi"/>
        </w:rPr>
        <w:t>underway</w:t>
      </w:r>
      <w:r w:rsidR="00505803" w:rsidRPr="000D7BAE">
        <w:rPr>
          <w:rFonts w:asciiTheme="minorBidi" w:hAnsiTheme="minorBidi" w:cstheme="minorBidi"/>
        </w:rPr>
        <w:t>.</w:t>
      </w:r>
    </w:p>
    <w:p w14:paraId="2C4B66FA" w14:textId="47BC12F6" w:rsidR="008B6BEA" w:rsidRPr="000D7BAE" w:rsidRDefault="008B6BEA" w:rsidP="00370292">
      <w:pPr>
        <w:pStyle w:val="GAPara"/>
        <w:numPr>
          <w:ilvl w:val="0"/>
          <w:numId w:val="6"/>
        </w:numPr>
        <w:ind w:left="567" w:hanging="567"/>
        <w:jc w:val="both"/>
      </w:pPr>
      <w:r w:rsidRPr="000D7BAE">
        <w:rPr>
          <w:rFonts w:asciiTheme="minorBidi" w:hAnsiTheme="minorBidi" w:cstheme="minorBidi"/>
          <w:b/>
          <w:bCs/>
        </w:rPr>
        <w:t>Knowledge</w:t>
      </w:r>
      <w:r w:rsidRPr="000D7BAE">
        <w:rPr>
          <w:b/>
          <w:bCs/>
        </w:rPr>
        <w:t xml:space="preserve"> management services</w:t>
      </w:r>
      <w:r w:rsidRPr="000D7BAE">
        <w:t xml:space="preserve"> continued to play a critical role </w:t>
      </w:r>
      <w:r w:rsidR="007925BC" w:rsidRPr="000D7BAE">
        <w:t xml:space="preserve">in </w:t>
      </w:r>
      <w:r w:rsidR="004F341A" w:rsidRPr="000D7BAE">
        <w:t xml:space="preserve">ensuring </w:t>
      </w:r>
      <w:r w:rsidRPr="000D7BAE">
        <w:t xml:space="preserve">‘business continuity’, notably </w:t>
      </w:r>
      <w:r w:rsidR="007925BC" w:rsidRPr="000D7BAE">
        <w:t>through</w:t>
      </w:r>
      <w:r w:rsidRPr="000D7BAE">
        <w:t xml:space="preserve"> the organi</w:t>
      </w:r>
      <w:r w:rsidR="007925BC" w:rsidRPr="000D7BAE">
        <w:t>z</w:t>
      </w:r>
      <w:r w:rsidRPr="000D7BAE">
        <w:t>ation of numerous online meeting</w:t>
      </w:r>
      <w:r w:rsidR="007925BC" w:rsidRPr="000D7BAE">
        <w:t>s</w:t>
      </w:r>
      <w:r w:rsidRPr="000D7BAE">
        <w:t xml:space="preserve"> of the Evaluation Body. The positive experience gained in the evaluation of files through the online interface indicate</w:t>
      </w:r>
      <w:r w:rsidR="007925BC" w:rsidRPr="000D7BAE">
        <w:t>s</w:t>
      </w:r>
      <w:r w:rsidRPr="000D7BAE">
        <w:t xml:space="preserve"> that the gradual return of </w:t>
      </w:r>
      <w:r w:rsidR="007925BC" w:rsidRPr="000D7BAE">
        <w:t>in-person</w:t>
      </w:r>
      <w:r w:rsidRPr="000D7BAE">
        <w:t xml:space="preserve"> meetings will not imply the discontinuation of this working method. In fact, the working </w:t>
      </w:r>
      <w:r w:rsidRPr="000D7BAE">
        <w:rPr>
          <w:rFonts w:asciiTheme="minorBidi" w:hAnsiTheme="minorBidi" w:cstheme="minorBidi"/>
        </w:rPr>
        <w:t>methodology</w:t>
      </w:r>
      <w:r w:rsidRPr="000D7BAE">
        <w:t xml:space="preserve"> for the </w:t>
      </w:r>
      <w:proofErr w:type="gramStart"/>
      <w:r w:rsidR="00CA3BA5" w:rsidRPr="000D7BAE">
        <w:t>in person</w:t>
      </w:r>
      <w:proofErr w:type="gramEnd"/>
      <w:r w:rsidRPr="000D7BAE">
        <w:t xml:space="preserve"> June meeting of the Evaluation Body largely followed the same approach </w:t>
      </w:r>
      <w:r w:rsidR="00CA3BA5" w:rsidRPr="000D7BAE">
        <w:t>as</w:t>
      </w:r>
      <w:r w:rsidRPr="000D7BAE">
        <w:t xml:space="preserve"> the online meetings in previous years, involving intense preliminary work carried out by the members through the online interface, which they highlighted as a particularly useful and well-designed tool to facilitate their work. </w:t>
      </w:r>
      <w:r w:rsidR="001D545A" w:rsidRPr="000D7BAE">
        <w:t xml:space="preserve">Furthermore, </w:t>
      </w:r>
      <w:r w:rsidR="00416443" w:rsidRPr="000D7BAE">
        <w:t xml:space="preserve">access </w:t>
      </w:r>
      <w:r w:rsidR="00445797" w:rsidRPr="000D7BAE">
        <w:t xml:space="preserve">to the online reporting platform </w:t>
      </w:r>
      <w:r w:rsidR="00416443" w:rsidRPr="000D7BAE">
        <w:t xml:space="preserve">continued to be provided to </w:t>
      </w:r>
      <w:r w:rsidR="00445797" w:rsidRPr="000D7BAE">
        <w:t>the</w:t>
      </w:r>
      <w:r w:rsidR="00416443" w:rsidRPr="000D7BAE">
        <w:t xml:space="preserve"> designated focal point</w:t>
      </w:r>
      <w:r w:rsidR="003E1EFF" w:rsidRPr="000D7BAE">
        <w:t>s</w:t>
      </w:r>
      <w:r w:rsidR="00416443" w:rsidRPr="000D7BAE">
        <w:t xml:space="preserve"> responsible for coordinating </w:t>
      </w:r>
      <w:r w:rsidR="00445797" w:rsidRPr="000D7BAE">
        <w:t xml:space="preserve">the </w:t>
      </w:r>
      <w:r w:rsidR="00416443" w:rsidRPr="000D7BAE">
        <w:t>periodic reporting exercise</w:t>
      </w:r>
      <w:r w:rsidR="00445797" w:rsidRPr="000D7BAE">
        <w:t xml:space="preserve"> in each State Party</w:t>
      </w:r>
      <w:r w:rsidR="00416443" w:rsidRPr="000D7BAE">
        <w:t>.</w:t>
      </w:r>
      <w:r w:rsidR="00DC2ED8" w:rsidRPr="000D7BAE">
        <w:t xml:space="preserve"> </w:t>
      </w:r>
      <w:r w:rsidR="00CA3BA5" w:rsidRPr="000D7BAE">
        <w:t>Given the</w:t>
      </w:r>
      <w:r w:rsidRPr="000D7BAE">
        <w:t xml:space="preserve"> increased us</w:t>
      </w:r>
      <w:r w:rsidR="00445797" w:rsidRPr="000D7BAE">
        <w:t>ages</w:t>
      </w:r>
      <w:r w:rsidR="00CA3BA5" w:rsidRPr="000D7BAE">
        <w:t>,</w:t>
      </w:r>
      <w:r w:rsidRPr="000D7BAE">
        <w:t xml:space="preserve"> the knowledge management system </w:t>
      </w:r>
      <w:r w:rsidR="00CA3BA5" w:rsidRPr="000D7BAE">
        <w:t xml:space="preserve">needs to </w:t>
      </w:r>
      <w:r w:rsidRPr="000D7BAE">
        <w:t>continue to be optimized so as to maintain the web</w:t>
      </w:r>
      <w:r w:rsidR="0001095A" w:rsidRPr="000D7BAE">
        <w:t>page</w:t>
      </w:r>
      <w:r w:rsidRPr="000D7BAE">
        <w:t xml:space="preserve"> and store the </w:t>
      </w:r>
      <w:r w:rsidR="00CA3BA5" w:rsidRPr="000D7BAE">
        <w:t>large</w:t>
      </w:r>
      <w:r w:rsidR="00015DCF" w:rsidRPr="000D7BAE">
        <w:t xml:space="preserve"> amount of </w:t>
      </w:r>
      <w:r w:rsidRPr="000D7BAE">
        <w:t>data produced.</w:t>
      </w:r>
    </w:p>
    <w:p w14:paraId="5DC0E81A" w14:textId="2881D5C7" w:rsidR="00BC0E8A" w:rsidRPr="000D7BAE" w:rsidRDefault="00BC0E8A" w:rsidP="00370292">
      <w:pPr>
        <w:pStyle w:val="GAPara"/>
        <w:numPr>
          <w:ilvl w:val="0"/>
          <w:numId w:val="6"/>
        </w:numPr>
        <w:ind w:left="567" w:hanging="567"/>
        <w:jc w:val="both"/>
      </w:pPr>
      <w:r w:rsidRPr="000D7BAE">
        <w:rPr>
          <w:rFonts w:asciiTheme="minorBidi" w:hAnsiTheme="minorBidi" w:cstheme="minorBidi"/>
          <w:b/>
          <w:bCs/>
        </w:rPr>
        <w:t>Communications</w:t>
      </w:r>
      <w:r w:rsidRPr="000D7BAE">
        <w:rPr>
          <w:b/>
          <w:bCs/>
        </w:rPr>
        <w:t xml:space="preserve"> and outreach</w:t>
      </w:r>
      <w:r w:rsidRPr="00E961E4">
        <w:t>:</w:t>
      </w:r>
      <w:r w:rsidRPr="000D7BAE">
        <w:rPr>
          <w:b/>
          <w:bCs/>
        </w:rPr>
        <w:t xml:space="preserve"> </w:t>
      </w:r>
      <w:r w:rsidRPr="000D7BAE">
        <w:t xml:space="preserve">As the 2021 IOS evaluation pointed out, the webpage of the Convention is an important tool to showcase </w:t>
      </w:r>
      <w:r w:rsidR="003E1EFF" w:rsidRPr="000D7BAE">
        <w:t>the breadth of information</w:t>
      </w:r>
      <w:r w:rsidRPr="000D7BAE">
        <w:t xml:space="preserve"> related to the safeguarding of living heritage</w:t>
      </w:r>
      <w:r w:rsidR="00445DA7" w:rsidRPr="000D7BAE">
        <w:t>.</w:t>
      </w:r>
      <w:r w:rsidRPr="000D7BAE">
        <w:t xml:space="preserve"> </w:t>
      </w:r>
      <w:r w:rsidR="00445DA7" w:rsidRPr="000D7BAE">
        <w:t>H</w:t>
      </w:r>
      <w:r w:rsidRPr="000D7BAE">
        <w:t>owever</w:t>
      </w:r>
      <w:r w:rsidR="00445DA7" w:rsidRPr="000D7BAE">
        <w:t>,</w:t>
      </w:r>
      <w:r w:rsidRPr="000D7BAE">
        <w:t xml:space="preserve"> further avenues for communication and outreach are needed to improve engagement with new audiences, including non-expert </w:t>
      </w:r>
      <w:r w:rsidR="00445DA7" w:rsidRPr="000D7BAE">
        <w:t xml:space="preserve">members of the </w:t>
      </w:r>
      <w:r w:rsidRPr="000D7BAE">
        <w:t xml:space="preserve">public, youth, </w:t>
      </w:r>
      <w:r w:rsidR="00C54746" w:rsidRPr="000D7BAE">
        <w:t xml:space="preserve">and </w:t>
      </w:r>
      <w:r w:rsidRPr="000D7BAE">
        <w:t>bearers of living heritage. Building on the conclusions of the external company contracted</w:t>
      </w:r>
      <w:r w:rsidR="00567F13" w:rsidRPr="000D7BAE">
        <w:t xml:space="preserve"> in 2021</w:t>
      </w:r>
      <w:r w:rsidRPr="000D7BAE">
        <w:t xml:space="preserve"> to review the </w:t>
      </w:r>
      <w:r w:rsidRPr="000D7BAE">
        <w:rPr>
          <w:rFonts w:asciiTheme="minorBidi" w:hAnsiTheme="minorBidi" w:cstheme="minorBidi"/>
        </w:rPr>
        <w:t>user</w:t>
      </w:r>
      <w:r w:rsidRPr="000D7BAE">
        <w:t xml:space="preserve">-experience of the 2003 Convention’s website, the </w:t>
      </w:r>
      <w:r w:rsidR="00AB12CF" w:rsidRPr="000D7BAE">
        <w:t xml:space="preserve">alignment of the </w:t>
      </w:r>
      <w:r w:rsidR="004F2C2C" w:rsidRPr="000D7BAE">
        <w:t>webpage</w:t>
      </w:r>
      <w:r w:rsidRPr="000D7BAE">
        <w:t xml:space="preserve"> </w:t>
      </w:r>
      <w:r w:rsidR="00445DA7" w:rsidRPr="000D7BAE">
        <w:t>of</w:t>
      </w:r>
      <w:r w:rsidRPr="000D7BAE">
        <w:t xml:space="preserve"> the Convention with UNESCO’s new graphic charter </w:t>
      </w:r>
      <w:r w:rsidR="00AB12CF" w:rsidRPr="000D7BAE">
        <w:t xml:space="preserve">will be launched </w:t>
      </w:r>
      <w:r w:rsidR="00D574FB" w:rsidRPr="000D7BAE">
        <w:t xml:space="preserve">imminently. </w:t>
      </w:r>
      <w:r w:rsidR="00445DA7" w:rsidRPr="000D7BAE">
        <w:t>As a side event to</w:t>
      </w:r>
      <w:r w:rsidR="000926C7" w:rsidRPr="000D7BAE">
        <w:t xml:space="preserve"> the ninth session of the General Assembly, a</w:t>
      </w:r>
      <w:r w:rsidRPr="000D7BAE">
        <w:t xml:space="preserve">n </w:t>
      </w:r>
      <w:r w:rsidRPr="00E961E4">
        <w:t>exhibition on the MOOC on ‘Living heritage and sustainable development’ was organized</w:t>
      </w:r>
      <w:r w:rsidRPr="000D7BAE">
        <w:t xml:space="preserve">. </w:t>
      </w:r>
      <w:r w:rsidR="0073044C" w:rsidRPr="000D7BAE">
        <w:t>The v</w:t>
      </w:r>
      <w:r w:rsidRPr="000D7BAE">
        <w:t>isibility of the Convention has also been enhanced in UNESCO communications, through more social media posts (Twitter, Facebook and Instagram) featuring living heritage</w:t>
      </w:r>
      <w:r w:rsidR="0073044C" w:rsidRPr="000D7BAE">
        <w:t>,</w:t>
      </w:r>
      <w:r w:rsidRPr="000D7BAE">
        <w:t xml:space="preserve"> weekly news </w:t>
      </w:r>
      <w:r w:rsidR="0073044C" w:rsidRPr="000D7BAE">
        <w:t xml:space="preserve">items </w:t>
      </w:r>
      <w:r w:rsidRPr="000D7BAE">
        <w:t>on the webpage tackling different themes in all regions</w:t>
      </w:r>
      <w:r w:rsidR="0073044C" w:rsidRPr="000D7BAE">
        <w:t>,</w:t>
      </w:r>
      <w:r w:rsidRPr="000D7BAE">
        <w:t xml:space="preserve"> and International </w:t>
      </w:r>
      <w:proofErr w:type="gramStart"/>
      <w:r w:rsidRPr="000D7BAE">
        <w:t>Days’</w:t>
      </w:r>
      <w:proofErr w:type="gramEnd"/>
      <w:r w:rsidRPr="000D7BAE">
        <w:t xml:space="preserve"> related to the </w:t>
      </w:r>
      <w:r w:rsidR="0073044C" w:rsidRPr="000D7BAE">
        <w:t xml:space="preserve">different </w:t>
      </w:r>
      <w:r w:rsidRPr="000D7BAE">
        <w:t>domains of the Convention. A brochure on Living Heritage in emergency situations was published in three languages.</w:t>
      </w:r>
      <w:r w:rsidR="00011210" w:rsidRPr="000D7BAE">
        <w:t xml:space="preserve"> Furthermore,</w:t>
      </w:r>
      <w:r w:rsidR="00A8771C" w:rsidRPr="000D7BAE">
        <w:t xml:space="preserve"> </w:t>
      </w:r>
      <w:r w:rsidR="00A8771C" w:rsidRPr="000D7BAE">
        <w:rPr>
          <w:rFonts w:asciiTheme="minorBidi" w:hAnsiTheme="minorBidi" w:cstheme="minorBidi"/>
        </w:rPr>
        <w:t>during the reporting period</w:t>
      </w:r>
      <w:r w:rsidR="00567F13" w:rsidRPr="000D7BAE">
        <w:rPr>
          <w:rFonts w:asciiTheme="minorBidi" w:hAnsiTheme="minorBidi" w:cstheme="minorBidi"/>
        </w:rPr>
        <w:t>,</w:t>
      </w:r>
      <w:r w:rsidR="00011210" w:rsidRPr="000D7BAE">
        <w:t xml:space="preserve"> </w:t>
      </w:r>
      <w:r w:rsidR="00011210" w:rsidRPr="000D7BAE">
        <w:lastRenderedPageBreak/>
        <w:t>i</w:t>
      </w:r>
      <w:r w:rsidR="00011210" w:rsidRPr="000D7BAE">
        <w:rPr>
          <w:rFonts w:asciiTheme="minorBidi" w:hAnsiTheme="minorBidi" w:cstheme="minorBidi"/>
        </w:rPr>
        <w:t xml:space="preserve">ntersectoral and joint coordinated work was pursued in preparation </w:t>
      </w:r>
      <w:r w:rsidR="0073044C" w:rsidRPr="000D7BAE">
        <w:rPr>
          <w:rFonts w:asciiTheme="minorBidi" w:hAnsiTheme="minorBidi" w:cstheme="minorBidi"/>
        </w:rPr>
        <w:t>for</w:t>
      </w:r>
      <w:r w:rsidR="00011210" w:rsidRPr="000D7BAE">
        <w:rPr>
          <w:rFonts w:asciiTheme="minorBidi" w:hAnsiTheme="minorBidi" w:cstheme="minorBidi"/>
        </w:rPr>
        <w:t xml:space="preserve"> the launch of the 2022–2032 International Decade of Indigenous Languages.</w:t>
      </w:r>
    </w:p>
    <w:p w14:paraId="17DAF811" w14:textId="17948279" w:rsidR="006F5250" w:rsidRPr="000D7BAE" w:rsidRDefault="006F5250" w:rsidP="008B2414">
      <w:pPr>
        <w:pStyle w:val="COMPara"/>
        <w:keepNext/>
        <w:numPr>
          <w:ilvl w:val="0"/>
          <w:numId w:val="0"/>
        </w:numPr>
        <w:jc w:val="both"/>
        <w:rPr>
          <w:rFonts w:asciiTheme="minorBidi" w:hAnsiTheme="minorBidi" w:cstheme="minorBidi"/>
        </w:rPr>
      </w:pPr>
      <w:bookmarkStart w:id="1" w:name="_Hlk114585839"/>
      <w:r w:rsidRPr="000D7BAE">
        <w:rPr>
          <w:rFonts w:asciiTheme="minorBidi" w:hAnsiTheme="minorBidi" w:cstheme="minorBidi"/>
          <w:b/>
          <w:bCs/>
        </w:rPr>
        <w:t xml:space="preserve">II. </w:t>
      </w:r>
      <w:bookmarkStart w:id="2" w:name="_Hlk115978517"/>
      <w:r w:rsidR="00402D9D" w:rsidRPr="000D7BAE">
        <w:rPr>
          <w:rFonts w:asciiTheme="minorBidi" w:hAnsiTheme="minorBidi" w:cstheme="minorBidi"/>
          <w:b/>
          <w:bCs/>
        </w:rPr>
        <w:t>Safeguarding living heritage</w:t>
      </w:r>
      <w:r w:rsidR="00D1413F" w:rsidRPr="000D7BAE">
        <w:rPr>
          <w:rFonts w:asciiTheme="minorBidi" w:hAnsiTheme="minorBidi" w:cstheme="minorBidi"/>
          <w:b/>
          <w:bCs/>
        </w:rPr>
        <w:t xml:space="preserve"> in e</w:t>
      </w:r>
      <w:r w:rsidR="00383721" w:rsidRPr="000D7BAE">
        <w:rPr>
          <w:rFonts w:asciiTheme="minorBidi" w:hAnsiTheme="minorBidi" w:cstheme="minorBidi"/>
          <w:b/>
          <w:bCs/>
        </w:rPr>
        <w:t>mergencies</w:t>
      </w:r>
    </w:p>
    <w:bookmarkEnd w:id="1"/>
    <w:p w14:paraId="3CECFD3B" w14:textId="7AECD7D9" w:rsidR="00311FB2" w:rsidRPr="000D7BAE" w:rsidRDefault="004B3693" w:rsidP="008B2414">
      <w:pPr>
        <w:pStyle w:val="GAPara"/>
        <w:keepNext/>
        <w:numPr>
          <w:ilvl w:val="0"/>
          <w:numId w:val="6"/>
        </w:numPr>
        <w:ind w:left="567" w:hanging="567"/>
        <w:jc w:val="both"/>
      </w:pPr>
      <w:r w:rsidRPr="000D7BAE">
        <w:t>T</w:t>
      </w:r>
      <w:r w:rsidR="0079486C" w:rsidRPr="000D7BAE">
        <w:t xml:space="preserve">he Secretariat </w:t>
      </w:r>
      <w:r w:rsidR="006E291D" w:rsidRPr="000D7BAE">
        <w:t xml:space="preserve">continued </w:t>
      </w:r>
      <w:r w:rsidR="00943238" w:rsidRPr="000D7BAE">
        <w:t xml:space="preserve">to </w:t>
      </w:r>
      <w:r w:rsidR="006E291D" w:rsidRPr="000D7BAE">
        <w:t xml:space="preserve">work on the </w:t>
      </w:r>
      <w:r w:rsidRPr="000D7BAE">
        <w:t>implementation</w:t>
      </w:r>
      <w:r w:rsidR="006E291D" w:rsidRPr="000D7BAE">
        <w:t xml:space="preserve"> of the </w:t>
      </w:r>
      <w:r w:rsidR="001F3EDA" w:rsidRPr="000D7BAE">
        <w:t>‘</w:t>
      </w:r>
      <w:r w:rsidR="001F3EDA" w:rsidRPr="000D7BAE">
        <w:rPr>
          <w:b/>
          <w:bCs/>
        </w:rPr>
        <w:t xml:space="preserve">Operational </w:t>
      </w:r>
      <w:r w:rsidR="001F3EDA" w:rsidRPr="000D7BAE">
        <w:rPr>
          <w:rFonts w:asciiTheme="minorBidi" w:hAnsiTheme="minorBidi" w:cstheme="minorBidi"/>
          <w:b/>
          <w:bCs/>
        </w:rPr>
        <w:t>principles</w:t>
      </w:r>
      <w:r w:rsidR="001F3EDA" w:rsidRPr="000D7BAE">
        <w:rPr>
          <w:b/>
          <w:bCs/>
        </w:rPr>
        <w:t xml:space="preserve"> and modalities for safeguarding intangible cultural heritage in emergencies’</w:t>
      </w:r>
      <w:r w:rsidRPr="000D7BAE">
        <w:t>, approved by the eight</w:t>
      </w:r>
      <w:r w:rsidR="00B44018" w:rsidRPr="000D7BAE">
        <w:t>h</w:t>
      </w:r>
      <w:r w:rsidR="00E2086A" w:rsidRPr="000D7BAE">
        <w:t xml:space="preserve"> session</w:t>
      </w:r>
      <w:r w:rsidRPr="000D7BAE">
        <w:t xml:space="preserve"> of the General Assembly (Resolution </w:t>
      </w:r>
      <w:hyperlink r:id="rId39" w:history="1">
        <w:r w:rsidRPr="000D7BAE">
          <w:rPr>
            <w:rStyle w:val="Hyperlink"/>
            <w:rFonts w:cs="Arial"/>
          </w:rPr>
          <w:t>8.GA 9</w:t>
        </w:r>
      </w:hyperlink>
      <w:r w:rsidRPr="000D7BAE">
        <w:t xml:space="preserve">). </w:t>
      </w:r>
      <w:r w:rsidR="001F3EDA" w:rsidRPr="000D7BAE">
        <w:t>During the reporting period</w:t>
      </w:r>
      <w:r w:rsidR="00E2086A" w:rsidRPr="000D7BAE">
        <w:t>,</w:t>
      </w:r>
      <w:r w:rsidR="001F3EDA" w:rsidRPr="000D7BAE">
        <w:t xml:space="preserve"> a </w:t>
      </w:r>
      <w:r w:rsidR="00943238" w:rsidRPr="000D7BAE">
        <w:t>project on the</w:t>
      </w:r>
      <w:r w:rsidR="001F3EDA" w:rsidRPr="000D7BAE">
        <w:t xml:space="preserve"> </w:t>
      </w:r>
      <w:r w:rsidR="001F3EDA" w:rsidRPr="000D7BAE">
        <w:rPr>
          <w:rFonts w:asciiTheme="minorBidi" w:hAnsiTheme="minorBidi" w:cstheme="minorBidi"/>
        </w:rPr>
        <w:t>safeguarding</w:t>
      </w:r>
      <w:r w:rsidR="00943238" w:rsidRPr="000D7BAE">
        <w:rPr>
          <w:rFonts w:asciiTheme="minorBidi" w:hAnsiTheme="minorBidi" w:cstheme="minorBidi"/>
        </w:rPr>
        <w:t xml:space="preserve"> of</w:t>
      </w:r>
      <w:r w:rsidR="001F3EDA" w:rsidRPr="000D7BAE">
        <w:rPr>
          <w:rFonts w:asciiTheme="minorBidi" w:hAnsiTheme="minorBidi" w:cstheme="minorBidi"/>
        </w:rPr>
        <w:t xml:space="preserve"> living heritage during emergencies in Small Island Developing States (SIDS) in the Pacific and the Caribbean</w:t>
      </w:r>
      <w:r w:rsidR="00EB7E9D" w:rsidRPr="000D7BAE">
        <w:rPr>
          <w:rFonts w:asciiTheme="minorBidi" w:hAnsiTheme="minorBidi" w:cstheme="minorBidi"/>
        </w:rPr>
        <w:t xml:space="preserve"> was launched</w:t>
      </w:r>
      <w:r w:rsidR="001F3EDA" w:rsidRPr="000D7BAE">
        <w:rPr>
          <w:rFonts w:asciiTheme="minorBidi" w:hAnsiTheme="minorBidi" w:cstheme="minorBidi"/>
        </w:rPr>
        <w:t xml:space="preserve">. </w:t>
      </w:r>
      <w:r w:rsidR="00943238" w:rsidRPr="000D7BAE">
        <w:rPr>
          <w:rFonts w:asciiTheme="minorBidi" w:hAnsiTheme="minorBidi" w:cstheme="minorBidi"/>
        </w:rPr>
        <w:t xml:space="preserve">Under this three-year </w:t>
      </w:r>
      <w:r w:rsidR="009963C9" w:rsidRPr="000D7BAE">
        <w:rPr>
          <w:rFonts w:asciiTheme="minorBidi" w:hAnsiTheme="minorBidi" w:cstheme="minorBidi"/>
        </w:rPr>
        <w:t>initiative</w:t>
      </w:r>
      <w:r w:rsidR="00943238" w:rsidRPr="000D7BAE">
        <w:rPr>
          <w:rFonts w:asciiTheme="minorBidi" w:hAnsiTheme="minorBidi" w:cstheme="minorBidi"/>
        </w:rPr>
        <w:t>, an online</w:t>
      </w:r>
      <w:r w:rsidR="009963C9" w:rsidRPr="000D7BAE">
        <w:rPr>
          <w:rFonts w:asciiTheme="minorBidi" w:hAnsiTheme="minorBidi" w:cstheme="minorBidi"/>
        </w:rPr>
        <w:t xml:space="preserve"> interregional</w:t>
      </w:r>
      <w:r w:rsidR="00943238" w:rsidRPr="000D7BAE">
        <w:rPr>
          <w:rFonts w:asciiTheme="minorBidi" w:hAnsiTheme="minorBidi" w:cstheme="minorBidi"/>
        </w:rPr>
        <w:t xml:space="preserve"> workshop was organized in cooperation with the UNESCO Field Offices in Apia and Kingston</w:t>
      </w:r>
      <w:r w:rsidR="00EB7E9D" w:rsidRPr="000D7BAE">
        <w:rPr>
          <w:rFonts w:asciiTheme="minorBidi" w:hAnsiTheme="minorBidi" w:cstheme="minorBidi"/>
        </w:rPr>
        <w:t xml:space="preserve"> in April 2022</w:t>
      </w:r>
      <w:r w:rsidR="00943238" w:rsidRPr="000D7BAE">
        <w:rPr>
          <w:rFonts w:asciiTheme="minorBidi" w:hAnsiTheme="minorBidi" w:cstheme="minorBidi"/>
        </w:rPr>
        <w:t xml:space="preserve">. Gathering some </w:t>
      </w:r>
      <w:r w:rsidR="00564870" w:rsidRPr="000D7BAE">
        <w:rPr>
          <w:rFonts w:asciiTheme="minorBidi" w:hAnsiTheme="minorBidi" w:cstheme="minorBidi"/>
        </w:rPr>
        <w:t>forty</w:t>
      </w:r>
      <w:r w:rsidR="00FC5158" w:rsidRPr="000D7BAE">
        <w:rPr>
          <w:rFonts w:asciiTheme="minorBidi" w:hAnsiTheme="minorBidi" w:cstheme="minorBidi"/>
        </w:rPr>
        <w:t xml:space="preserve"> participants</w:t>
      </w:r>
      <w:r w:rsidR="00943238" w:rsidRPr="000D7BAE">
        <w:rPr>
          <w:rFonts w:asciiTheme="minorBidi" w:hAnsiTheme="minorBidi" w:cstheme="minorBidi"/>
        </w:rPr>
        <w:t xml:space="preserve">, the training </w:t>
      </w:r>
      <w:r w:rsidR="00564870" w:rsidRPr="000D7BAE">
        <w:rPr>
          <w:rFonts w:asciiTheme="minorBidi" w:hAnsiTheme="minorBidi" w:cstheme="minorBidi"/>
        </w:rPr>
        <w:t>sess</w:t>
      </w:r>
      <w:r w:rsidR="004F341A" w:rsidRPr="000D7BAE">
        <w:rPr>
          <w:rFonts w:asciiTheme="minorBidi" w:hAnsiTheme="minorBidi" w:cstheme="minorBidi"/>
        </w:rPr>
        <w:t>i</w:t>
      </w:r>
      <w:r w:rsidR="00564870" w:rsidRPr="000D7BAE">
        <w:rPr>
          <w:rFonts w:asciiTheme="minorBidi" w:hAnsiTheme="minorBidi" w:cstheme="minorBidi"/>
        </w:rPr>
        <w:t xml:space="preserve">on </w:t>
      </w:r>
      <w:r w:rsidR="00943238" w:rsidRPr="000D7BAE">
        <w:rPr>
          <w:rFonts w:asciiTheme="minorBidi" w:hAnsiTheme="minorBidi" w:cstheme="minorBidi"/>
        </w:rPr>
        <w:t>allowed for the sharing of experience</w:t>
      </w:r>
      <w:r w:rsidR="00564870" w:rsidRPr="000D7BAE">
        <w:rPr>
          <w:rFonts w:asciiTheme="minorBidi" w:hAnsiTheme="minorBidi" w:cstheme="minorBidi"/>
        </w:rPr>
        <w:t>s</w:t>
      </w:r>
      <w:r w:rsidR="00FC5158" w:rsidRPr="000D7BAE">
        <w:rPr>
          <w:rFonts w:asciiTheme="minorBidi" w:hAnsiTheme="minorBidi" w:cstheme="minorBidi"/>
        </w:rPr>
        <w:t xml:space="preserve"> between stakeholders in </w:t>
      </w:r>
      <w:r w:rsidR="00FC5158" w:rsidRPr="000D7BAE">
        <w:rPr>
          <w:color w:val="000000"/>
          <w:shd w:val="clear" w:color="auto" w:fill="FFFFFF"/>
        </w:rPr>
        <w:t>the field of heritage safeguarding and disaster risk reduction</w:t>
      </w:r>
      <w:r w:rsidR="003846DE" w:rsidRPr="000D7BAE">
        <w:rPr>
          <w:color w:val="000000"/>
          <w:shd w:val="clear" w:color="auto" w:fill="FFFFFF"/>
        </w:rPr>
        <w:t xml:space="preserve"> and </w:t>
      </w:r>
      <w:r w:rsidR="00943238" w:rsidRPr="000D7BAE">
        <w:rPr>
          <w:rFonts w:asciiTheme="minorBidi" w:hAnsiTheme="minorBidi" w:cstheme="minorBidi"/>
        </w:rPr>
        <w:t xml:space="preserve">provided insights </w:t>
      </w:r>
      <w:r w:rsidR="00564870" w:rsidRPr="000D7BAE">
        <w:rPr>
          <w:rFonts w:asciiTheme="minorBidi" w:hAnsiTheme="minorBidi" w:cstheme="minorBidi"/>
        </w:rPr>
        <w:t>into</w:t>
      </w:r>
      <w:r w:rsidR="00943238" w:rsidRPr="000D7BAE">
        <w:rPr>
          <w:rFonts w:asciiTheme="minorBidi" w:hAnsiTheme="minorBidi" w:cstheme="minorBidi"/>
        </w:rPr>
        <w:t xml:space="preserve"> specific needs related to </w:t>
      </w:r>
      <w:r w:rsidR="00FC5158" w:rsidRPr="000D7BAE">
        <w:rPr>
          <w:rFonts w:asciiTheme="minorBidi" w:hAnsiTheme="minorBidi" w:cstheme="minorBidi"/>
        </w:rPr>
        <w:t xml:space="preserve">the </w:t>
      </w:r>
      <w:r w:rsidR="00943238" w:rsidRPr="000D7BAE">
        <w:rPr>
          <w:rFonts w:asciiTheme="minorBidi" w:hAnsiTheme="minorBidi" w:cstheme="minorBidi"/>
        </w:rPr>
        <w:t>safeguarding</w:t>
      </w:r>
      <w:r w:rsidR="00FC5158" w:rsidRPr="000D7BAE">
        <w:rPr>
          <w:rFonts w:asciiTheme="minorBidi" w:hAnsiTheme="minorBidi" w:cstheme="minorBidi"/>
        </w:rPr>
        <w:t xml:space="preserve"> of</w:t>
      </w:r>
      <w:r w:rsidR="00943238" w:rsidRPr="000D7BAE">
        <w:rPr>
          <w:rFonts w:asciiTheme="minorBidi" w:hAnsiTheme="minorBidi" w:cstheme="minorBidi"/>
        </w:rPr>
        <w:t xml:space="preserve"> living heritage in countries prone to natural disasters.</w:t>
      </w:r>
      <w:r w:rsidR="00943238" w:rsidRPr="000D7BAE">
        <w:rPr>
          <w:color w:val="000000"/>
          <w:sz w:val="21"/>
          <w:szCs w:val="21"/>
          <w:shd w:val="clear" w:color="auto" w:fill="FFFFFF"/>
        </w:rPr>
        <w:t xml:space="preserve"> </w:t>
      </w:r>
      <w:r w:rsidR="00FC5158" w:rsidRPr="000D7BAE">
        <w:rPr>
          <w:color w:val="000000"/>
          <w:shd w:val="clear" w:color="auto" w:fill="FFFFFF"/>
        </w:rPr>
        <w:t xml:space="preserve">The training </w:t>
      </w:r>
      <w:r w:rsidR="00564870" w:rsidRPr="000D7BAE">
        <w:rPr>
          <w:color w:val="000000"/>
          <w:shd w:val="clear" w:color="auto" w:fill="FFFFFF"/>
        </w:rPr>
        <w:t xml:space="preserve">session </w:t>
      </w:r>
      <w:r w:rsidR="00311FB2" w:rsidRPr="000D7BAE">
        <w:rPr>
          <w:color w:val="000000"/>
          <w:shd w:val="clear" w:color="auto" w:fill="FFFFFF"/>
        </w:rPr>
        <w:t xml:space="preserve">used </w:t>
      </w:r>
      <w:r w:rsidR="00FC5158" w:rsidRPr="000D7BAE">
        <w:rPr>
          <w:color w:val="000000"/>
          <w:shd w:val="clear" w:color="auto" w:fill="FFFFFF"/>
        </w:rPr>
        <w:t xml:space="preserve">the material training </w:t>
      </w:r>
      <w:r w:rsidR="00311FB2" w:rsidRPr="000D7BAE">
        <w:rPr>
          <w:color w:val="000000"/>
          <w:shd w:val="clear" w:color="auto" w:fill="FFFFFF"/>
        </w:rPr>
        <w:t>o</w:t>
      </w:r>
      <w:r w:rsidR="00311FB2" w:rsidRPr="000D7BAE">
        <w:t>f the curricula of</w:t>
      </w:r>
      <w:r w:rsidR="00EB7E9D" w:rsidRPr="000D7BAE">
        <w:t xml:space="preserve"> the</w:t>
      </w:r>
      <w:r w:rsidR="00311FB2" w:rsidRPr="000D7BAE">
        <w:t xml:space="preserve"> global capacity-building programme, with guidance on the integration of disaster risk reduction into community-based inventories of intangible cultural heritage. </w:t>
      </w:r>
      <w:r w:rsidR="00564870" w:rsidRPr="000D7BAE">
        <w:t>This year, the</w:t>
      </w:r>
      <w:r w:rsidR="00311FB2" w:rsidRPr="000D7BAE">
        <w:t xml:space="preserve"> Secretariat also launched</w:t>
      </w:r>
      <w:r w:rsidR="00EB7E9D" w:rsidRPr="000D7BAE">
        <w:t xml:space="preserve"> </w:t>
      </w:r>
      <w:r w:rsidR="00875AAA" w:rsidRPr="000D7BAE">
        <w:t>the production of new</w:t>
      </w:r>
      <w:r w:rsidR="00FC5D67" w:rsidRPr="000D7BAE">
        <w:t xml:space="preserve"> </w:t>
      </w:r>
      <w:r w:rsidR="00311FB2" w:rsidRPr="000D7BAE">
        <w:t>capacity-building material</w:t>
      </w:r>
      <w:r w:rsidR="00564870" w:rsidRPr="000D7BAE">
        <w:t>s</w:t>
      </w:r>
      <w:r w:rsidR="00311FB2" w:rsidRPr="000D7BAE">
        <w:t xml:space="preserve"> on the topic of </w:t>
      </w:r>
      <w:r w:rsidR="00FC5D67" w:rsidRPr="000D7BAE">
        <w:t>intangible cultural heritage</w:t>
      </w:r>
      <w:r w:rsidR="00311FB2" w:rsidRPr="000D7BAE">
        <w:t xml:space="preserve"> in the context of armed conflict.</w:t>
      </w:r>
    </w:p>
    <w:p w14:paraId="2A0346F5" w14:textId="05BD1729" w:rsidR="00CE63DF" w:rsidRPr="00A4713D" w:rsidRDefault="002B7A34" w:rsidP="00CE63DF">
      <w:pPr>
        <w:pStyle w:val="GAPara"/>
        <w:numPr>
          <w:ilvl w:val="0"/>
          <w:numId w:val="6"/>
        </w:numPr>
        <w:ind w:left="567" w:hanging="567"/>
        <w:jc w:val="both"/>
        <w:rPr>
          <w:rFonts w:asciiTheme="minorBidi" w:hAnsiTheme="minorBidi" w:cstheme="minorBidi"/>
        </w:rPr>
      </w:pPr>
      <w:r w:rsidRPr="000D7BAE">
        <w:rPr>
          <w:rFonts w:asciiTheme="minorBidi" w:hAnsiTheme="minorBidi" w:cstheme="minorBidi"/>
        </w:rPr>
        <w:t xml:space="preserve">In response to the </w:t>
      </w:r>
      <w:r w:rsidRPr="00A4713D">
        <w:rPr>
          <w:rFonts w:asciiTheme="minorBidi" w:hAnsiTheme="minorBidi" w:cstheme="minorBidi"/>
        </w:rPr>
        <w:t xml:space="preserve">ongoing </w:t>
      </w:r>
      <w:r w:rsidR="00FE38EB" w:rsidRPr="00E961E4">
        <w:rPr>
          <w:rFonts w:asciiTheme="minorBidi" w:hAnsiTheme="minorBidi" w:cstheme="minorBidi"/>
        </w:rPr>
        <w:t>war</w:t>
      </w:r>
      <w:r w:rsidRPr="00A4713D">
        <w:rPr>
          <w:rFonts w:asciiTheme="minorBidi" w:hAnsiTheme="minorBidi" w:cstheme="minorBidi"/>
        </w:rPr>
        <w:t xml:space="preserve"> in Ukraine, the Secretariat has made a concerted effort to support the </w:t>
      </w:r>
      <w:r w:rsidRPr="00A4713D">
        <w:rPr>
          <w:rFonts w:asciiTheme="minorBidi" w:hAnsiTheme="minorBidi" w:cstheme="minorBidi"/>
          <w:b/>
          <w:bCs/>
        </w:rPr>
        <w:t>safeguarding of Ukrainian living heritage</w:t>
      </w:r>
      <w:r w:rsidRPr="00A4713D">
        <w:rPr>
          <w:rFonts w:asciiTheme="minorBidi" w:hAnsiTheme="minorBidi" w:cstheme="minorBidi"/>
        </w:rPr>
        <w:t xml:space="preserve">. </w:t>
      </w:r>
      <w:r w:rsidR="003E1EFF" w:rsidRPr="00A4713D">
        <w:rPr>
          <w:rFonts w:asciiTheme="minorBidi" w:hAnsiTheme="minorBidi" w:cstheme="minorBidi"/>
        </w:rPr>
        <w:t>T</w:t>
      </w:r>
      <w:r w:rsidRPr="00A4713D">
        <w:rPr>
          <w:rFonts w:asciiTheme="minorBidi" w:hAnsiTheme="minorBidi" w:cstheme="minorBidi"/>
        </w:rPr>
        <w:t xml:space="preserve">he Secretariat called for a coordination meeting in March 2022 to gather more than </w:t>
      </w:r>
      <w:r w:rsidR="00564870" w:rsidRPr="00A4713D">
        <w:rPr>
          <w:rFonts w:asciiTheme="minorBidi" w:hAnsiTheme="minorBidi" w:cstheme="minorBidi"/>
        </w:rPr>
        <w:t xml:space="preserve">forty </w:t>
      </w:r>
      <w:r w:rsidRPr="00A4713D">
        <w:rPr>
          <w:rFonts w:asciiTheme="minorBidi" w:hAnsiTheme="minorBidi" w:cstheme="minorBidi"/>
        </w:rPr>
        <w:t>stakeholders to discuss</w:t>
      </w:r>
      <w:r w:rsidR="008308DC" w:rsidRPr="00A4713D">
        <w:rPr>
          <w:rFonts w:asciiTheme="minorBidi" w:hAnsiTheme="minorBidi" w:cstheme="minorBidi"/>
        </w:rPr>
        <w:t xml:space="preserve"> priority areas for action. As a follow-up</w:t>
      </w:r>
      <w:r w:rsidR="00564870" w:rsidRPr="00A4713D">
        <w:rPr>
          <w:rFonts w:asciiTheme="minorBidi" w:hAnsiTheme="minorBidi" w:cstheme="minorBidi"/>
        </w:rPr>
        <w:t>,</w:t>
      </w:r>
      <w:r w:rsidR="008308DC" w:rsidRPr="00A4713D">
        <w:rPr>
          <w:rFonts w:asciiTheme="minorBidi" w:hAnsiTheme="minorBidi" w:cstheme="minorBidi"/>
        </w:rPr>
        <w:t xml:space="preserve"> the Secretariat launched a community-based needs identification</w:t>
      </w:r>
      <w:r w:rsidR="00CE63DF" w:rsidRPr="00A4713D">
        <w:rPr>
          <w:rFonts w:asciiTheme="minorBidi" w:hAnsiTheme="minorBidi" w:cstheme="minorBidi"/>
        </w:rPr>
        <w:t>, between March and July 2022,</w:t>
      </w:r>
      <w:r w:rsidR="008308DC" w:rsidRPr="00A4713D">
        <w:rPr>
          <w:rFonts w:asciiTheme="minorBidi" w:hAnsiTheme="minorBidi" w:cstheme="minorBidi"/>
        </w:rPr>
        <w:t xml:space="preserve"> in five countries neighbouring Ukraine</w:t>
      </w:r>
      <w:r w:rsidR="00CE63DF" w:rsidRPr="00A4713D">
        <w:rPr>
          <w:rFonts w:asciiTheme="minorBidi" w:hAnsiTheme="minorBidi" w:cstheme="minorBidi"/>
        </w:rPr>
        <w:t xml:space="preserve"> which </w:t>
      </w:r>
      <w:r w:rsidR="00564870" w:rsidRPr="00A4713D">
        <w:rPr>
          <w:rFonts w:asciiTheme="minorBidi" w:hAnsiTheme="minorBidi" w:cstheme="minorBidi"/>
        </w:rPr>
        <w:t xml:space="preserve">had </w:t>
      </w:r>
      <w:r w:rsidR="00CE63DF" w:rsidRPr="00A4713D">
        <w:rPr>
          <w:rFonts w:asciiTheme="minorBidi" w:hAnsiTheme="minorBidi" w:cstheme="minorBidi"/>
        </w:rPr>
        <w:t>received a large influx of displaced Ukrainian people</w:t>
      </w:r>
      <w:r w:rsidR="008308DC" w:rsidRPr="00A4713D">
        <w:rPr>
          <w:rFonts w:asciiTheme="minorBidi" w:hAnsiTheme="minorBidi" w:cstheme="minorBidi"/>
        </w:rPr>
        <w:t xml:space="preserve"> (Hungary, Moldova, Poland, Romania and Slovakia).</w:t>
      </w:r>
      <w:r w:rsidR="00CE63DF" w:rsidRPr="00A4713D">
        <w:rPr>
          <w:rFonts w:asciiTheme="minorBidi" w:hAnsiTheme="minorBidi" w:cstheme="minorBidi"/>
        </w:rPr>
        <w:t xml:space="preserve"> A set of International Assistance requests are being developed to address </w:t>
      </w:r>
      <w:r w:rsidR="00564870" w:rsidRPr="00A4713D">
        <w:rPr>
          <w:rFonts w:asciiTheme="minorBidi" w:hAnsiTheme="minorBidi" w:cstheme="minorBidi"/>
        </w:rPr>
        <w:t xml:space="preserve">the </w:t>
      </w:r>
      <w:r w:rsidR="00CE63DF" w:rsidRPr="00A4713D">
        <w:rPr>
          <w:rFonts w:asciiTheme="minorBidi" w:hAnsiTheme="minorBidi" w:cstheme="minorBidi"/>
        </w:rPr>
        <w:t>safeguarding needs identified</w:t>
      </w:r>
      <w:r w:rsidR="009154CD" w:rsidRPr="00A4713D">
        <w:rPr>
          <w:rFonts w:asciiTheme="minorBidi" w:hAnsiTheme="minorBidi" w:cstheme="minorBidi"/>
        </w:rPr>
        <w:t>, to be submitted as soon as possible for examination by the Bureau</w:t>
      </w:r>
      <w:r w:rsidR="00CE63DF" w:rsidRPr="00A4713D">
        <w:rPr>
          <w:rFonts w:asciiTheme="minorBidi" w:hAnsiTheme="minorBidi" w:cstheme="minorBidi"/>
        </w:rPr>
        <w:t xml:space="preserve"> of the Committee. Furthermore, the Secretariat launched a project through UNESCO’s Heritage Emergency Fund to support the resilience of Ukrainian school children by enhancing their awareness of their living heritage. This involves adapting the existing resource kit on ‘Teaching and learning with living heritage’ to the Ukrainian context and developing ten additional case studies to be piloted in a select number of primary and secondary schools, both inside and outside of Ukraine.</w:t>
      </w:r>
    </w:p>
    <w:p w14:paraId="6B24486C" w14:textId="4CF511F7" w:rsidR="0040584E" w:rsidRPr="000D7BAE" w:rsidRDefault="00D41062" w:rsidP="003F7888">
      <w:pPr>
        <w:pStyle w:val="GAPara"/>
        <w:numPr>
          <w:ilvl w:val="0"/>
          <w:numId w:val="6"/>
        </w:numPr>
        <w:ind w:left="567" w:hanging="567"/>
        <w:jc w:val="both"/>
        <w:rPr>
          <w:rFonts w:asciiTheme="minorBidi" w:hAnsiTheme="minorBidi" w:cstheme="minorBidi"/>
        </w:rPr>
      </w:pPr>
      <w:r w:rsidRPr="00A4713D">
        <w:rPr>
          <w:rFonts w:asciiTheme="minorBidi" w:hAnsiTheme="minorBidi" w:cstheme="minorBidi"/>
        </w:rPr>
        <w:t xml:space="preserve">A landmark of the reporting period was the </w:t>
      </w:r>
      <w:r w:rsidR="007922CC" w:rsidRPr="00A4713D">
        <w:rPr>
          <w:rFonts w:asciiTheme="minorBidi" w:hAnsiTheme="minorBidi" w:cstheme="minorBidi"/>
          <w:b/>
          <w:bCs/>
        </w:rPr>
        <w:t>accelerated</w:t>
      </w:r>
      <w:r w:rsidR="00AD4FD9" w:rsidRPr="00A4713D">
        <w:rPr>
          <w:rFonts w:asciiTheme="minorBidi" w:hAnsiTheme="minorBidi" w:cstheme="minorBidi"/>
          <w:b/>
          <w:bCs/>
        </w:rPr>
        <w:t xml:space="preserve"> </w:t>
      </w:r>
      <w:r w:rsidRPr="00A4713D">
        <w:rPr>
          <w:rFonts w:asciiTheme="minorBidi" w:hAnsiTheme="minorBidi" w:cstheme="minorBidi"/>
          <w:b/>
          <w:bCs/>
        </w:rPr>
        <w:t xml:space="preserve">inscription of </w:t>
      </w:r>
      <w:r w:rsidR="0040584E" w:rsidRPr="00A4713D">
        <w:rPr>
          <w:b/>
          <w:bCs/>
        </w:rPr>
        <w:t xml:space="preserve">‘Culture of Ukrainian borscht cooking’ </w:t>
      </w:r>
      <w:r w:rsidR="0040584E" w:rsidRPr="00A4713D">
        <w:t xml:space="preserve">on the Urgent Safeguarding List </w:t>
      </w:r>
      <w:r w:rsidR="00920194" w:rsidRPr="00A4713D">
        <w:rPr>
          <w:rFonts w:asciiTheme="minorBidi" w:hAnsiTheme="minorBidi" w:cstheme="minorBidi"/>
        </w:rPr>
        <w:t xml:space="preserve">through the application of </w:t>
      </w:r>
      <w:r w:rsidR="007B1EBC" w:rsidRPr="00A4713D">
        <w:rPr>
          <w:rFonts w:asciiTheme="minorBidi" w:hAnsiTheme="minorBidi" w:cstheme="minorBidi"/>
        </w:rPr>
        <w:t>A</w:t>
      </w:r>
      <w:r w:rsidR="00920194" w:rsidRPr="00A4713D">
        <w:rPr>
          <w:rFonts w:asciiTheme="minorBidi" w:hAnsiTheme="minorBidi" w:cstheme="minorBidi"/>
        </w:rPr>
        <w:t>rticle 17.3 of the Convention</w:t>
      </w:r>
      <w:r w:rsidR="0040584E" w:rsidRPr="00A4713D">
        <w:rPr>
          <w:rFonts w:asciiTheme="minorBidi" w:hAnsiTheme="minorBidi" w:cstheme="minorBidi"/>
        </w:rPr>
        <w:t>.</w:t>
      </w:r>
      <w:r w:rsidR="0040584E" w:rsidRPr="00A4713D">
        <w:rPr>
          <w:rFonts w:ascii="Times New Roman" w:hAnsi="Times New Roman" w:cs="Times New Roman"/>
          <w:snapToGrid/>
          <w:szCs w:val="24"/>
          <w:lang w:eastAsia="fr-FR"/>
        </w:rPr>
        <w:t xml:space="preserve"> </w:t>
      </w:r>
      <w:r w:rsidR="0040584E" w:rsidRPr="00A4713D">
        <w:rPr>
          <w:rFonts w:asciiTheme="minorBidi" w:hAnsiTheme="minorBidi" w:cstheme="minorBidi"/>
        </w:rPr>
        <w:t xml:space="preserve">In the context of the ongoing </w:t>
      </w:r>
      <w:r w:rsidR="00F80873" w:rsidRPr="00E961E4">
        <w:rPr>
          <w:rFonts w:asciiTheme="minorBidi" w:hAnsiTheme="minorBidi" w:cstheme="minorBidi"/>
        </w:rPr>
        <w:t>war</w:t>
      </w:r>
      <w:r w:rsidR="0040584E" w:rsidRPr="00A4713D">
        <w:rPr>
          <w:rFonts w:asciiTheme="minorBidi" w:hAnsiTheme="minorBidi" w:cstheme="minorBidi"/>
        </w:rPr>
        <w:t>, Ukraine</w:t>
      </w:r>
      <w:r w:rsidR="0040584E" w:rsidRPr="000D7BAE">
        <w:rPr>
          <w:rFonts w:asciiTheme="minorBidi" w:hAnsiTheme="minorBidi" w:cstheme="minorBidi"/>
        </w:rPr>
        <w:t xml:space="preserve"> made a request on 21 April 2022 for this nomination to be treated as a case of extreme urgency.</w:t>
      </w:r>
      <w:r w:rsidR="0040584E" w:rsidRPr="000D7BAE">
        <w:t xml:space="preserve"> The Secretariat supported the procedure throughout, starting with t</w:t>
      </w:r>
      <w:r w:rsidR="0040584E" w:rsidRPr="000D7BAE">
        <w:rPr>
          <w:rFonts w:asciiTheme="minorBidi" w:hAnsiTheme="minorBidi" w:cstheme="minorBidi"/>
        </w:rPr>
        <w:t xml:space="preserve">he Bureau’s meeting on 6 May 2022 to consider the request and establish a step-by-step procedure to treat </w:t>
      </w:r>
      <w:r w:rsidR="00564870" w:rsidRPr="000D7BAE">
        <w:rPr>
          <w:rFonts w:asciiTheme="minorBidi" w:hAnsiTheme="minorBidi" w:cstheme="minorBidi"/>
        </w:rPr>
        <w:t>it</w:t>
      </w:r>
      <w:r w:rsidR="0040584E" w:rsidRPr="000D7BAE">
        <w:rPr>
          <w:rFonts w:ascii="Times New Roman" w:hAnsi="Times New Roman" w:cs="Times New Roman"/>
          <w:snapToGrid/>
          <w:szCs w:val="24"/>
          <w:lang w:eastAsia="fr-FR"/>
        </w:rPr>
        <w:t xml:space="preserve"> (</w:t>
      </w:r>
      <w:r w:rsidR="006C6F80" w:rsidRPr="00E961E4">
        <w:t xml:space="preserve">Decision </w:t>
      </w:r>
      <w:hyperlink r:id="rId40" w:history="1">
        <w:r w:rsidR="006C6F80" w:rsidRPr="00E961E4">
          <w:rPr>
            <w:rStyle w:val="Hyperlink"/>
            <w:rFonts w:asciiTheme="minorBidi" w:hAnsiTheme="minorBidi" w:cstheme="minorBidi"/>
          </w:rPr>
          <w:t>17.COM 3.BUR 3</w:t>
        </w:r>
      </w:hyperlink>
      <w:r w:rsidR="0040584E" w:rsidRPr="000D7BAE">
        <w:rPr>
          <w:rFonts w:asciiTheme="minorBidi" w:hAnsiTheme="minorBidi" w:cstheme="minorBidi"/>
        </w:rPr>
        <w:t>); t</w:t>
      </w:r>
      <w:r w:rsidR="0040584E" w:rsidRPr="000D7BAE">
        <w:t xml:space="preserve">he Secretariat then consolidated the additional information received from Ukraine </w:t>
      </w:r>
      <w:r w:rsidR="00ED0C29" w:rsidRPr="000D7BAE">
        <w:t>on</w:t>
      </w:r>
      <w:r w:rsidR="0040584E" w:rsidRPr="000D7BAE">
        <w:t xml:space="preserve"> 14 and 15 June</w:t>
      </w:r>
      <w:r w:rsidR="0040584E" w:rsidRPr="000D7BAE">
        <w:rPr>
          <w:rFonts w:asciiTheme="minorBidi" w:hAnsiTheme="minorBidi" w:cstheme="minorBidi"/>
        </w:rPr>
        <w:t xml:space="preserve"> before organising the evaluation of the nomination by the 2022 Evaluation Body; </w:t>
      </w:r>
      <w:r w:rsidR="00ED0C29" w:rsidRPr="000D7BAE">
        <w:rPr>
          <w:rFonts w:asciiTheme="minorBidi" w:hAnsiTheme="minorBidi" w:cstheme="minorBidi"/>
        </w:rPr>
        <w:t>t</w:t>
      </w:r>
      <w:r w:rsidR="0040584E" w:rsidRPr="000D7BAE">
        <w:t xml:space="preserve">he recommendation of the Evaluation Body was transferred to the Bureau for its meeting on </w:t>
      </w:r>
      <w:r w:rsidR="006C6F80" w:rsidRPr="000D7BAE">
        <w:t>23</w:t>
      </w:r>
      <w:r w:rsidR="006C6F80">
        <w:t> </w:t>
      </w:r>
      <w:r w:rsidR="0040584E" w:rsidRPr="000D7BAE">
        <w:t xml:space="preserve">June 2022 (document </w:t>
      </w:r>
      <w:hyperlink r:id="rId41" w:history="1">
        <w:r w:rsidR="0040584E" w:rsidRPr="000D7BAE">
          <w:rPr>
            <w:rStyle w:val="Hyperlink"/>
          </w:rPr>
          <w:t>LHE/22/17 COM 4.BUR 5</w:t>
        </w:r>
      </w:hyperlink>
      <w:r w:rsidR="0040584E" w:rsidRPr="000D7BAE">
        <w:t>).</w:t>
      </w:r>
      <w:r w:rsidR="00F26283" w:rsidRPr="000D7BAE">
        <w:t xml:space="preserve"> After an </w:t>
      </w:r>
      <w:r w:rsidR="00F26283" w:rsidRPr="007D4CC1">
        <w:t>electronic exchange with the Committee members on procedural matters, the fifth extraordinary session of the Committee decided to inscribe the element on the Urgent Safeguarding List (</w:t>
      </w:r>
      <w:r w:rsidR="00F26283" w:rsidRPr="00E961E4">
        <w:t xml:space="preserve">Decision </w:t>
      </w:r>
      <w:hyperlink r:id="rId42" w:history="1">
        <w:r w:rsidR="00F26283" w:rsidRPr="00E961E4">
          <w:rPr>
            <w:rStyle w:val="Hyperlink"/>
            <w:rFonts w:cs="Arial"/>
          </w:rPr>
          <w:t>5.EXT.COM 5</w:t>
        </w:r>
      </w:hyperlink>
      <w:r w:rsidR="00F26283" w:rsidRPr="007D4CC1">
        <w:t>).</w:t>
      </w:r>
      <w:r w:rsidR="003F7888" w:rsidRPr="007D4CC1">
        <w:t xml:space="preserve"> </w:t>
      </w:r>
      <w:r w:rsidR="007922CC" w:rsidRPr="007D4CC1">
        <w:t>Overall, t</w:t>
      </w:r>
      <w:r w:rsidR="007922CC" w:rsidRPr="007D4CC1">
        <w:rPr>
          <w:rFonts w:asciiTheme="minorBidi" w:hAnsiTheme="minorBidi" w:cstheme="minorBidi"/>
        </w:rPr>
        <w:t>he Secretariat ensured an expeditious treatment of the nomination, within ten weeks of its submission by the State Party, demonstrating an effective first use of Article</w:t>
      </w:r>
      <w:r w:rsidR="007922CC" w:rsidRPr="000D7BAE">
        <w:rPr>
          <w:rFonts w:asciiTheme="minorBidi" w:hAnsiTheme="minorBidi" w:cstheme="minorBidi"/>
        </w:rPr>
        <w:t xml:space="preserve"> 17.3 of the Convention to treat a nomination on </w:t>
      </w:r>
      <w:r w:rsidR="00ED0C29" w:rsidRPr="000D7BAE">
        <w:rPr>
          <w:rFonts w:asciiTheme="minorBidi" w:hAnsiTheme="minorBidi" w:cstheme="minorBidi"/>
        </w:rPr>
        <w:t>a fast-track basis</w:t>
      </w:r>
      <w:r w:rsidR="007922CC" w:rsidRPr="000D7BAE">
        <w:rPr>
          <w:rFonts w:asciiTheme="minorBidi" w:hAnsiTheme="minorBidi" w:cstheme="minorBidi"/>
        </w:rPr>
        <w:t>.</w:t>
      </w:r>
    </w:p>
    <w:p w14:paraId="4FB2517D" w14:textId="14C26663" w:rsidR="006F5250" w:rsidRPr="000D7BAE" w:rsidRDefault="00927C9E" w:rsidP="00E961E4">
      <w:pPr>
        <w:pStyle w:val="COMPara"/>
        <w:keepNext/>
        <w:numPr>
          <w:ilvl w:val="0"/>
          <w:numId w:val="0"/>
        </w:numPr>
        <w:jc w:val="both"/>
        <w:rPr>
          <w:rFonts w:asciiTheme="minorBidi" w:hAnsiTheme="minorBidi" w:cstheme="minorBidi"/>
          <w:b/>
          <w:bCs/>
        </w:rPr>
      </w:pPr>
      <w:bookmarkStart w:id="3" w:name="_Hlk114585843"/>
      <w:r w:rsidRPr="000D7BAE">
        <w:rPr>
          <w:rFonts w:asciiTheme="minorBidi" w:hAnsiTheme="minorBidi" w:cstheme="minorBidi"/>
          <w:b/>
          <w:bCs/>
        </w:rPr>
        <w:lastRenderedPageBreak/>
        <w:t>III</w:t>
      </w:r>
      <w:r w:rsidR="008A6458" w:rsidRPr="000D7BAE">
        <w:rPr>
          <w:rFonts w:asciiTheme="minorBidi" w:hAnsiTheme="minorBidi" w:cstheme="minorBidi"/>
          <w:b/>
          <w:bCs/>
        </w:rPr>
        <w:t xml:space="preserve">. </w:t>
      </w:r>
      <w:r w:rsidR="00397F83" w:rsidRPr="000D7BAE">
        <w:rPr>
          <w:rFonts w:asciiTheme="minorBidi" w:hAnsiTheme="minorBidi" w:cstheme="minorBidi"/>
          <w:b/>
          <w:bCs/>
        </w:rPr>
        <w:t xml:space="preserve">Implementation of operational priorities on capacity building </w:t>
      </w:r>
      <w:r w:rsidR="006D2D4F" w:rsidRPr="000D7BAE">
        <w:rPr>
          <w:rFonts w:asciiTheme="minorBidi" w:hAnsiTheme="minorBidi" w:cstheme="minorBidi"/>
          <w:b/>
          <w:bCs/>
        </w:rPr>
        <w:t>as well as on</w:t>
      </w:r>
      <w:r w:rsidR="00397F83" w:rsidRPr="000D7BAE">
        <w:rPr>
          <w:rFonts w:asciiTheme="minorBidi" w:hAnsiTheme="minorBidi" w:cstheme="minorBidi"/>
          <w:b/>
          <w:bCs/>
        </w:rPr>
        <w:t xml:space="preserve"> </w:t>
      </w:r>
      <w:r w:rsidR="00FD183E" w:rsidRPr="000D7BAE">
        <w:rPr>
          <w:rFonts w:asciiTheme="minorBidi" w:hAnsiTheme="minorBidi" w:cstheme="minorBidi"/>
          <w:b/>
          <w:bCs/>
        </w:rPr>
        <w:t>living</w:t>
      </w:r>
      <w:r w:rsidR="00397F83" w:rsidRPr="000D7BAE">
        <w:rPr>
          <w:rFonts w:asciiTheme="minorBidi" w:hAnsiTheme="minorBidi" w:cstheme="minorBidi"/>
          <w:b/>
          <w:bCs/>
        </w:rPr>
        <w:t xml:space="preserve"> heritage and education</w:t>
      </w:r>
    </w:p>
    <w:bookmarkEnd w:id="3"/>
    <w:p w14:paraId="4D2EBE14" w14:textId="70BF0878" w:rsidR="001A7A98" w:rsidRPr="000D7BAE" w:rsidRDefault="001C5A46" w:rsidP="00E961E4">
      <w:pPr>
        <w:pStyle w:val="GAPara"/>
        <w:keepLines/>
        <w:numPr>
          <w:ilvl w:val="0"/>
          <w:numId w:val="6"/>
        </w:numPr>
        <w:ind w:left="567" w:hanging="567"/>
        <w:jc w:val="both"/>
        <w:rPr>
          <w:rFonts w:asciiTheme="minorBidi" w:hAnsiTheme="minorBidi" w:cstheme="minorBidi"/>
        </w:rPr>
      </w:pPr>
      <w:r w:rsidRPr="000D7BAE">
        <w:rPr>
          <w:rFonts w:asciiTheme="minorBidi" w:hAnsiTheme="minorBidi" w:cstheme="minorBidi"/>
          <w:b/>
          <w:bCs/>
        </w:rPr>
        <w:t>Capacity building</w:t>
      </w:r>
      <w:r w:rsidRPr="00E961E4">
        <w:rPr>
          <w:rFonts w:asciiTheme="minorBidi" w:hAnsiTheme="minorBidi" w:cstheme="minorBidi"/>
        </w:rPr>
        <w:t>:</w:t>
      </w:r>
      <w:r w:rsidR="009D30FA" w:rsidRPr="008C1775">
        <w:rPr>
          <w:rFonts w:asciiTheme="minorBidi" w:hAnsiTheme="minorBidi" w:cstheme="minorBidi"/>
        </w:rPr>
        <w:t xml:space="preserve"> </w:t>
      </w:r>
      <w:r w:rsidR="006D2D4F" w:rsidRPr="000D7BAE">
        <w:rPr>
          <w:rFonts w:asciiTheme="minorBidi" w:hAnsiTheme="minorBidi" w:cstheme="minorBidi"/>
        </w:rPr>
        <w:t>T</w:t>
      </w:r>
      <w:r w:rsidR="009D30FA" w:rsidRPr="000D7BAE">
        <w:rPr>
          <w:rFonts w:asciiTheme="minorBidi" w:hAnsiTheme="minorBidi" w:cstheme="minorBidi"/>
        </w:rPr>
        <w:t xml:space="preserve">he Secretariat </w:t>
      </w:r>
      <w:r w:rsidR="006F321F" w:rsidRPr="000D7BAE">
        <w:rPr>
          <w:rFonts w:asciiTheme="minorBidi" w:hAnsiTheme="minorBidi" w:cstheme="minorBidi"/>
        </w:rPr>
        <w:t>continued to provide support to countries within</w:t>
      </w:r>
      <w:r w:rsidR="006F321F" w:rsidRPr="000D7BAE">
        <w:rPr>
          <w:rFonts w:asciiTheme="minorBidi" w:hAnsiTheme="minorBidi" w:cstheme="minorBidi"/>
          <w:bCs/>
        </w:rPr>
        <w:t xml:space="preserve"> the scope of the first </w:t>
      </w:r>
      <w:r w:rsidR="006D2D4F" w:rsidRPr="000D7BAE">
        <w:rPr>
          <w:rFonts w:asciiTheme="minorBidi" w:hAnsiTheme="minorBidi" w:cstheme="minorBidi"/>
          <w:bCs/>
        </w:rPr>
        <w:t xml:space="preserve">funding </w:t>
      </w:r>
      <w:r w:rsidR="006F321F" w:rsidRPr="000D7BAE">
        <w:rPr>
          <w:rFonts w:asciiTheme="minorBidi" w:hAnsiTheme="minorBidi" w:cstheme="minorBidi"/>
          <w:bCs/>
        </w:rPr>
        <w:t>priority ‘Strengthening capacities to safeguard intangible cultural heritage using multi-modal approaches and contribute to sustainable development’</w:t>
      </w:r>
      <w:r w:rsidR="00323211" w:rsidRPr="000D7BAE">
        <w:rPr>
          <w:rFonts w:asciiTheme="minorBidi" w:hAnsiTheme="minorBidi" w:cstheme="minorBidi"/>
          <w:bCs/>
        </w:rPr>
        <w:t>,</w:t>
      </w:r>
      <w:r w:rsidR="006F321F" w:rsidRPr="000D7BAE">
        <w:rPr>
          <w:rFonts w:asciiTheme="minorBidi" w:hAnsiTheme="minorBidi" w:cstheme="minorBidi"/>
          <w:bCs/>
        </w:rPr>
        <w:t xml:space="preserve"> approved by the Committee at its sixteenth session (</w:t>
      </w:r>
      <w:r w:rsidR="007D4CC1" w:rsidRPr="00E961E4">
        <w:t xml:space="preserve">Decision </w:t>
      </w:r>
      <w:hyperlink r:id="rId43" w:history="1">
        <w:r w:rsidR="007D4CC1" w:rsidRPr="007D4CC1">
          <w:rPr>
            <w:rStyle w:val="Hyperlink"/>
            <w:rFonts w:asciiTheme="minorBidi" w:hAnsiTheme="minorBidi" w:cstheme="minorBidi"/>
            <w:bCs/>
          </w:rPr>
          <w:t>16.COM 12</w:t>
        </w:r>
      </w:hyperlink>
      <w:r w:rsidR="006F321F" w:rsidRPr="000D7BAE">
        <w:rPr>
          <w:rFonts w:asciiTheme="minorBidi" w:hAnsiTheme="minorBidi" w:cstheme="minorBidi"/>
          <w:bCs/>
        </w:rPr>
        <w:t xml:space="preserve">). </w:t>
      </w:r>
      <w:r w:rsidR="006F321F" w:rsidRPr="000D7BAE">
        <w:rPr>
          <w:rFonts w:asciiTheme="minorBidi" w:hAnsiTheme="minorBidi" w:cstheme="minorBidi"/>
        </w:rPr>
        <w:t>C</w:t>
      </w:r>
      <w:r w:rsidR="009D30FA" w:rsidRPr="000D7BAE">
        <w:rPr>
          <w:rFonts w:asciiTheme="minorBidi" w:hAnsiTheme="minorBidi" w:cstheme="minorBidi"/>
        </w:rPr>
        <w:t xml:space="preserve">apacity building and technical support </w:t>
      </w:r>
      <w:r w:rsidR="006F321F" w:rsidRPr="000D7BAE">
        <w:rPr>
          <w:rFonts w:asciiTheme="minorBidi" w:hAnsiTheme="minorBidi" w:cstheme="minorBidi"/>
        </w:rPr>
        <w:t xml:space="preserve">was provided </w:t>
      </w:r>
      <w:r w:rsidR="009D30FA" w:rsidRPr="000D7BAE">
        <w:rPr>
          <w:rFonts w:asciiTheme="minorBidi" w:hAnsiTheme="minorBidi" w:cstheme="minorBidi"/>
        </w:rPr>
        <w:t xml:space="preserve">to </w:t>
      </w:r>
      <w:r w:rsidR="00EE0610" w:rsidRPr="000D7BAE">
        <w:rPr>
          <w:rFonts w:asciiTheme="minorBidi" w:hAnsiTheme="minorBidi" w:cstheme="minorBidi"/>
        </w:rPr>
        <w:t>ninety-six</w:t>
      </w:r>
      <w:r w:rsidR="009D30FA" w:rsidRPr="000D7BAE">
        <w:rPr>
          <w:rFonts w:asciiTheme="minorBidi" w:hAnsiTheme="minorBidi" w:cstheme="minorBidi"/>
        </w:rPr>
        <w:t xml:space="preserve"> Member States, </w:t>
      </w:r>
      <w:r w:rsidR="00EE0610" w:rsidRPr="000D7BAE">
        <w:rPr>
          <w:rFonts w:asciiTheme="minorBidi" w:hAnsiTheme="minorBidi" w:cstheme="minorBidi"/>
        </w:rPr>
        <w:t>including</w:t>
      </w:r>
      <w:r w:rsidR="009D30FA" w:rsidRPr="000D7BAE">
        <w:rPr>
          <w:rFonts w:asciiTheme="minorBidi" w:hAnsiTheme="minorBidi" w:cstheme="minorBidi"/>
        </w:rPr>
        <w:t xml:space="preserve"> </w:t>
      </w:r>
      <w:r w:rsidR="00EE0610" w:rsidRPr="000D7BAE">
        <w:rPr>
          <w:rFonts w:asciiTheme="minorBidi" w:hAnsiTheme="minorBidi" w:cstheme="minorBidi"/>
        </w:rPr>
        <w:t>sixteen</w:t>
      </w:r>
      <w:r w:rsidR="009D30FA" w:rsidRPr="000D7BAE">
        <w:rPr>
          <w:rFonts w:asciiTheme="minorBidi" w:hAnsiTheme="minorBidi" w:cstheme="minorBidi"/>
        </w:rPr>
        <w:t xml:space="preserve"> in Africa and </w:t>
      </w:r>
      <w:r w:rsidR="00EE0610" w:rsidRPr="000D7BAE">
        <w:rPr>
          <w:rFonts w:asciiTheme="minorBidi" w:hAnsiTheme="minorBidi" w:cstheme="minorBidi"/>
        </w:rPr>
        <w:t>nine</w:t>
      </w:r>
      <w:r w:rsidR="009D30FA" w:rsidRPr="000D7BAE">
        <w:rPr>
          <w:rFonts w:asciiTheme="minorBidi" w:hAnsiTheme="minorBidi" w:cstheme="minorBidi"/>
        </w:rPr>
        <w:t xml:space="preserve"> in SIDS to develop new or revised policies, strategies and programmes to safeguard living heritage. </w:t>
      </w:r>
      <w:r w:rsidR="00EB7E9D" w:rsidRPr="000D7BAE">
        <w:rPr>
          <w:rFonts w:asciiTheme="minorBidi" w:hAnsiTheme="minorBidi" w:cstheme="minorBidi"/>
        </w:rPr>
        <w:t>Of these</w:t>
      </w:r>
      <w:r w:rsidR="006F321F" w:rsidRPr="000D7BAE">
        <w:rPr>
          <w:rFonts w:asciiTheme="minorBidi" w:hAnsiTheme="minorBidi" w:cstheme="minorBidi"/>
        </w:rPr>
        <w:t xml:space="preserve">, </w:t>
      </w:r>
      <w:r w:rsidR="00EE0610" w:rsidRPr="00E961E4">
        <w:t xml:space="preserve">twenty- two </w:t>
      </w:r>
      <w:r w:rsidR="009D30FA" w:rsidRPr="00E961E4">
        <w:t>countries (</w:t>
      </w:r>
      <w:r w:rsidR="00EE0610" w:rsidRPr="00E961E4">
        <w:t>seven</w:t>
      </w:r>
      <w:r w:rsidR="009D30FA" w:rsidRPr="00E961E4">
        <w:t xml:space="preserve"> in Africa and </w:t>
      </w:r>
      <w:r w:rsidR="00EE0610" w:rsidRPr="00E961E4">
        <w:t>nine</w:t>
      </w:r>
      <w:r w:rsidR="009D30FA" w:rsidRPr="00E961E4">
        <w:t xml:space="preserve"> in SIDS)</w:t>
      </w:r>
      <w:r w:rsidR="006F321F" w:rsidRPr="00E961E4">
        <w:t xml:space="preserve"> </w:t>
      </w:r>
      <w:r w:rsidR="009D30FA" w:rsidRPr="00E961E4">
        <w:t>initiated</w:t>
      </w:r>
      <w:r w:rsidR="006F321F" w:rsidRPr="00E961E4">
        <w:t xml:space="preserve"> </w:t>
      </w:r>
      <w:r w:rsidR="009D30FA" w:rsidRPr="00E961E4">
        <w:t xml:space="preserve">new programmes </w:t>
      </w:r>
      <w:r w:rsidR="00EE0610" w:rsidRPr="00E961E4">
        <w:t xml:space="preserve">with the support of the Secretariat, </w:t>
      </w:r>
      <w:r w:rsidR="009D30FA" w:rsidRPr="00E961E4">
        <w:t xml:space="preserve">focusing on the core actions under </w:t>
      </w:r>
      <w:r w:rsidR="002B28B0" w:rsidRPr="00E961E4">
        <w:t xml:space="preserve">the </w:t>
      </w:r>
      <w:r w:rsidR="009D30FA" w:rsidRPr="00E961E4">
        <w:t xml:space="preserve">Convention (inventorying, safeguarding plans, </w:t>
      </w:r>
      <w:r w:rsidR="009D30FA" w:rsidRPr="000D7BAE">
        <w:rPr>
          <w:rFonts w:asciiTheme="minorBidi" w:hAnsiTheme="minorBidi" w:cstheme="minorBidi"/>
        </w:rPr>
        <w:t>policy</w:t>
      </w:r>
      <w:r w:rsidR="009D30FA" w:rsidRPr="00E961E4">
        <w:t xml:space="preserve"> development) and </w:t>
      </w:r>
      <w:r w:rsidR="002B28B0" w:rsidRPr="00E961E4">
        <w:t>in different</w:t>
      </w:r>
      <w:r w:rsidR="009D30FA" w:rsidRPr="00E961E4">
        <w:t xml:space="preserve"> thematic areas</w:t>
      </w:r>
      <w:r w:rsidR="00EA0EF4" w:rsidRPr="00E961E4">
        <w:t>, notably emergencies, education and urban contexts</w:t>
      </w:r>
      <w:r w:rsidR="00625FA9" w:rsidRPr="00E961E4">
        <w:t xml:space="preserve">. </w:t>
      </w:r>
      <w:r w:rsidR="00E73046" w:rsidRPr="000D7BAE">
        <w:rPr>
          <w:rFonts w:asciiTheme="minorBidi" w:hAnsiTheme="minorBidi" w:cstheme="minorBidi"/>
        </w:rPr>
        <w:t>As d</w:t>
      </w:r>
      <w:r w:rsidR="00894D92" w:rsidRPr="000D7BAE">
        <w:rPr>
          <w:rFonts w:asciiTheme="minorBidi" w:hAnsiTheme="minorBidi" w:cstheme="minorBidi"/>
        </w:rPr>
        <w:t xml:space="preserve">emand for the capacity-building programme </w:t>
      </w:r>
      <w:r w:rsidR="00DE087A" w:rsidRPr="000D7BAE">
        <w:rPr>
          <w:rFonts w:asciiTheme="minorBidi" w:hAnsiTheme="minorBidi" w:cstheme="minorBidi"/>
        </w:rPr>
        <w:t>is</w:t>
      </w:r>
      <w:r w:rsidR="00894D92" w:rsidRPr="000D7BAE">
        <w:rPr>
          <w:rFonts w:asciiTheme="minorBidi" w:hAnsiTheme="minorBidi" w:cstheme="minorBidi"/>
        </w:rPr>
        <w:t xml:space="preserve"> </w:t>
      </w:r>
      <w:r w:rsidR="009934A8" w:rsidRPr="000D7BAE">
        <w:rPr>
          <w:rFonts w:asciiTheme="minorBidi" w:hAnsiTheme="minorBidi" w:cstheme="minorBidi"/>
        </w:rPr>
        <w:t>on the rise</w:t>
      </w:r>
      <w:r w:rsidR="007C0E0F" w:rsidRPr="000D7BAE">
        <w:rPr>
          <w:rFonts w:asciiTheme="minorBidi" w:hAnsiTheme="minorBidi" w:cstheme="minorBidi"/>
        </w:rPr>
        <w:t>,</w:t>
      </w:r>
      <w:r w:rsidR="006B7C76" w:rsidRPr="000D7BAE">
        <w:rPr>
          <w:rFonts w:asciiTheme="minorBidi" w:hAnsiTheme="minorBidi" w:cstheme="minorBidi"/>
        </w:rPr>
        <w:t xml:space="preserve"> </w:t>
      </w:r>
      <w:r w:rsidR="00E73046" w:rsidRPr="000D7BAE">
        <w:rPr>
          <w:rFonts w:asciiTheme="minorBidi" w:hAnsiTheme="minorBidi" w:cstheme="minorBidi"/>
        </w:rPr>
        <w:t xml:space="preserve">the Secretariat launched </w:t>
      </w:r>
      <w:r w:rsidR="009934A8" w:rsidRPr="00E961E4">
        <w:t xml:space="preserve">a call </w:t>
      </w:r>
      <w:r w:rsidR="009934A8" w:rsidRPr="000D7BAE">
        <w:rPr>
          <w:rFonts w:asciiTheme="minorBidi" w:hAnsiTheme="minorBidi" w:cstheme="minorBidi"/>
        </w:rPr>
        <w:t>for</w:t>
      </w:r>
      <w:r w:rsidR="009934A8" w:rsidRPr="00E961E4">
        <w:t xml:space="preserve"> expression</w:t>
      </w:r>
      <w:r w:rsidR="00EA0EF4" w:rsidRPr="00E961E4">
        <w:t>s</w:t>
      </w:r>
      <w:r w:rsidR="009934A8" w:rsidRPr="00E961E4">
        <w:t xml:space="preserve"> of interest to expand the global network of facilitators of the capacity-building programme</w:t>
      </w:r>
      <w:r w:rsidR="00E73046" w:rsidRPr="00E961E4">
        <w:t xml:space="preserve">. </w:t>
      </w:r>
      <w:r w:rsidR="00783281" w:rsidRPr="00E961E4">
        <w:t xml:space="preserve">The call also responds to </w:t>
      </w:r>
      <w:r w:rsidR="00B353BF" w:rsidRPr="00E961E4">
        <w:t>R</w:t>
      </w:r>
      <w:r w:rsidR="00783281" w:rsidRPr="00E961E4">
        <w:t xml:space="preserve">ecommendation 7 of the IOS 2021 Evaluation, which </w:t>
      </w:r>
      <w:r w:rsidR="00783281" w:rsidRPr="000D7BAE">
        <w:t>confirmed the centrality of the Global capacity-building programme and highlighted the need to adapt to evolving geographic and thematic demands.</w:t>
      </w:r>
      <w:r w:rsidR="00783281" w:rsidRPr="00E961E4">
        <w:t xml:space="preserve"> With the</w:t>
      </w:r>
      <w:r w:rsidR="00783281" w:rsidRPr="000D7BAE">
        <w:t xml:space="preserve"> pool of </w:t>
      </w:r>
      <w:r w:rsidR="00EA0EF4" w:rsidRPr="000D7BAE">
        <w:t>additional</w:t>
      </w:r>
      <w:r w:rsidR="00783281" w:rsidRPr="000D7BAE">
        <w:t xml:space="preserve"> facilitators, </w:t>
      </w:r>
      <w:r w:rsidR="00783281" w:rsidRPr="00E961E4">
        <w:t xml:space="preserve">the Convention will be better equipped to respond to </w:t>
      </w:r>
      <w:r w:rsidR="00B353BF" w:rsidRPr="00E961E4">
        <w:t>such</w:t>
      </w:r>
      <w:r w:rsidR="00783281" w:rsidRPr="00E961E4">
        <w:t xml:space="preserve"> needs</w:t>
      </w:r>
      <w:r w:rsidR="00B353BF" w:rsidRPr="00E961E4">
        <w:t xml:space="preserve"> and </w:t>
      </w:r>
      <w:r w:rsidR="00593BF6" w:rsidRPr="00E961E4">
        <w:t xml:space="preserve">to </w:t>
      </w:r>
      <w:r w:rsidR="00B353BF" w:rsidRPr="00E961E4">
        <w:t xml:space="preserve">ensure </w:t>
      </w:r>
      <w:r w:rsidR="00870611" w:rsidRPr="00E961E4">
        <w:rPr>
          <w:color w:val="000000"/>
        </w:rPr>
        <w:t>that the emerging thematic needs are effectively delivered</w:t>
      </w:r>
      <w:r w:rsidR="00783281" w:rsidRPr="00E961E4">
        <w:t xml:space="preserve">. </w:t>
      </w:r>
      <w:r w:rsidR="001D1A5C" w:rsidRPr="00E961E4">
        <w:t>T</w:t>
      </w:r>
      <w:r w:rsidR="009934A8" w:rsidRPr="00E961E4">
        <w:t xml:space="preserve">he Secretariat </w:t>
      </w:r>
      <w:r w:rsidR="001751E5" w:rsidRPr="00E961E4">
        <w:t xml:space="preserve">continued the work of </w:t>
      </w:r>
      <w:r w:rsidR="009934A8" w:rsidRPr="00E961E4">
        <w:t>reorienting the capacity-building programme for multimodal delivery</w:t>
      </w:r>
      <w:r w:rsidR="009F21A8" w:rsidRPr="00E961E4">
        <w:t xml:space="preserve"> and </w:t>
      </w:r>
      <w:r w:rsidR="009934A8" w:rsidRPr="000D7BAE">
        <w:rPr>
          <w:rFonts w:asciiTheme="minorBidi" w:hAnsiTheme="minorBidi" w:cstheme="minorBidi"/>
        </w:rPr>
        <w:t>has</w:t>
      </w:r>
      <w:r w:rsidR="009934A8" w:rsidRPr="00E961E4">
        <w:t xml:space="preserve"> further advanced the development of a Learning Management System (LMS).</w:t>
      </w:r>
    </w:p>
    <w:p w14:paraId="5BDDBF84" w14:textId="47FFBD80" w:rsidR="006E4C95" w:rsidRPr="000D7BAE" w:rsidRDefault="006E4C95" w:rsidP="00370292">
      <w:pPr>
        <w:pStyle w:val="GAPara"/>
        <w:numPr>
          <w:ilvl w:val="0"/>
          <w:numId w:val="6"/>
        </w:numPr>
        <w:ind w:left="567" w:hanging="567"/>
        <w:jc w:val="both"/>
      </w:pPr>
      <w:r w:rsidRPr="000D7BAE">
        <w:t xml:space="preserve">The reporting period also included the treatment and evaluation of seven proposals for the </w:t>
      </w:r>
      <w:r w:rsidRPr="00E961E4">
        <w:t>establishment</w:t>
      </w:r>
      <w:r w:rsidRPr="000D7BAE">
        <w:t xml:space="preserve"> or renewal of </w:t>
      </w:r>
      <w:r w:rsidRPr="00E961E4">
        <w:t>UNESCO</w:t>
      </w:r>
      <w:r w:rsidRPr="000D7BAE">
        <w:t xml:space="preserve"> </w:t>
      </w:r>
      <w:r w:rsidRPr="000D7BAE">
        <w:rPr>
          <w:b/>
          <w:bCs/>
        </w:rPr>
        <w:t>Chairs</w:t>
      </w:r>
      <w:r w:rsidRPr="000D7BAE">
        <w:t xml:space="preserve"> in the field of intangible cultural heritage, including the establishment of the first UNITWIN network on living heritage safeguarding</w:t>
      </w:r>
      <w:r w:rsidR="00157DCD" w:rsidRPr="000D7BAE">
        <w:t xml:space="preserve"> in </w:t>
      </w:r>
      <w:r w:rsidRPr="000D7BAE">
        <w:t>three universities in Argentina, Uruguay and Paraguay.</w:t>
      </w:r>
      <w:r w:rsidR="00716105" w:rsidRPr="000D7BAE">
        <w:t xml:space="preserve"> </w:t>
      </w:r>
      <w:r w:rsidR="00716105" w:rsidRPr="000D7BAE">
        <w:rPr>
          <w:rFonts w:asciiTheme="minorBidi" w:hAnsiTheme="minorBidi" w:cstheme="minorBidi"/>
        </w:rPr>
        <w:t>The UNESCO Chair on Transcultural Music Studies</w:t>
      </w:r>
      <w:r w:rsidR="00207215" w:rsidRPr="000D7BAE">
        <w:rPr>
          <w:rFonts w:asciiTheme="minorBidi" w:hAnsiTheme="minorBidi" w:cstheme="minorBidi"/>
        </w:rPr>
        <w:t xml:space="preserve"> (Weimar, Germany)</w:t>
      </w:r>
      <w:r w:rsidR="00716105" w:rsidRPr="000D7BAE">
        <w:rPr>
          <w:rFonts w:asciiTheme="minorBidi" w:hAnsiTheme="minorBidi" w:cstheme="minorBidi"/>
        </w:rPr>
        <w:t xml:space="preserve"> and the UNESCO Chair on Global Understanding for Sustainability </w:t>
      </w:r>
      <w:r w:rsidR="00207215" w:rsidRPr="000D7BAE">
        <w:rPr>
          <w:rFonts w:asciiTheme="minorBidi" w:hAnsiTheme="minorBidi" w:cstheme="minorBidi"/>
        </w:rPr>
        <w:t xml:space="preserve">(Jena, </w:t>
      </w:r>
      <w:r w:rsidR="00716105" w:rsidRPr="000D7BAE">
        <w:rPr>
          <w:rFonts w:asciiTheme="minorBidi" w:hAnsiTheme="minorBidi" w:cstheme="minorBidi"/>
        </w:rPr>
        <w:t xml:space="preserve">Germany) </w:t>
      </w:r>
      <w:r w:rsidR="009B62F9" w:rsidRPr="000D7BAE">
        <w:rPr>
          <w:rFonts w:asciiTheme="minorBidi" w:hAnsiTheme="minorBidi" w:cstheme="minorBidi"/>
        </w:rPr>
        <w:t xml:space="preserve">contributed </w:t>
      </w:r>
      <w:r w:rsidR="00716105" w:rsidRPr="000D7BAE">
        <w:rPr>
          <w:rFonts w:asciiTheme="minorBidi" w:hAnsiTheme="minorBidi" w:cstheme="minorBidi"/>
        </w:rPr>
        <w:t xml:space="preserve">to the academic debate and networking around the topic of </w:t>
      </w:r>
      <w:r w:rsidR="009B62F9" w:rsidRPr="000D7BAE">
        <w:rPr>
          <w:rFonts w:asciiTheme="minorBidi" w:hAnsiTheme="minorBidi" w:cstheme="minorBidi"/>
        </w:rPr>
        <w:t>cultures for sustainable futures by organizing an inter</w:t>
      </w:r>
      <w:r w:rsidR="00716105" w:rsidRPr="000D7BAE">
        <w:rPr>
          <w:rFonts w:asciiTheme="minorBidi" w:hAnsiTheme="minorBidi" w:cstheme="minorBidi"/>
        </w:rPr>
        <w:t xml:space="preserve">national UNESCO Chairs Conference </w:t>
      </w:r>
      <w:r w:rsidR="009B62F9" w:rsidRPr="000D7BAE">
        <w:rPr>
          <w:rFonts w:asciiTheme="minorBidi" w:hAnsiTheme="minorBidi" w:cstheme="minorBidi"/>
        </w:rPr>
        <w:t xml:space="preserve">in </w:t>
      </w:r>
      <w:r w:rsidR="00716105" w:rsidRPr="000D7BAE">
        <w:rPr>
          <w:rFonts w:asciiTheme="minorBidi" w:hAnsiTheme="minorBidi" w:cstheme="minorBidi"/>
        </w:rPr>
        <w:t>May 2022</w:t>
      </w:r>
      <w:r w:rsidR="009B62F9" w:rsidRPr="000D7BAE">
        <w:rPr>
          <w:rFonts w:asciiTheme="minorBidi" w:hAnsiTheme="minorBidi" w:cstheme="minorBidi"/>
        </w:rPr>
        <w:t>. In addition, t</w:t>
      </w:r>
      <w:r w:rsidR="00716105" w:rsidRPr="000D7BAE">
        <w:rPr>
          <w:rFonts w:asciiTheme="minorBidi" w:hAnsiTheme="minorBidi" w:cstheme="minorBidi"/>
        </w:rPr>
        <w:t>he UNESCO Chair on Intangible Cultural Heritage</w:t>
      </w:r>
      <w:r w:rsidR="00207215" w:rsidRPr="000D7BAE">
        <w:rPr>
          <w:rFonts w:asciiTheme="minorBidi" w:hAnsiTheme="minorBidi" w:cstheme="minorBidi"/>
        </w:rPr>
        <w:t xml:space="preserve"> </w:t>
      </w:r>
      <w:r w:rsidR="00716105" w:rsidRPr="000D7BAE">
        <w:rPr>
          <w:rFonts w:asciiTheme="minorBidi" w:hAnsiTheme="minorBidi" w:cstheme="minorBidi"/>
        </w:rPr>
        <w:t xml:space="preserve">and Sustainable Development </w:t>
      </w:r>
      <w:r w:rsidR="00435B60" w:rsidRPr="000D7BAE">
        <w:rPr>
          <w:rFonts w:asciiTheme="minorBidi" w:hAnsiTheme="minorBidi" w:cstheme="minorBidi"/>
        </w:rPr>
        <w:t>(</w:t>
      </w:r>
      <w:proofErr w:type="spellStart"/>
      <w:r w:rsidR="00435B60" w:rsidRPr="000D7BAE">
        <w:rPr>
          <w:rFonts w:asciiTheme="minorBidi" w:hAnsiTheme="minorBidi" w:cstheme="minorBidi"/>
        </w:rPr>
        <w:t>Cergy-Pontoise</w:t>
      </w:r>
      <w:proofErr w:type="spellEnd"/>
      <w:r w:rsidR="00435B60" w:rsidRPr="000D7BAE">
        <w:rPr>
          <w:rFonts w:asciiTheme="minorBidi" w:hAnsiTheme="minorBidi" w:cstheme="minorBidi"/>
        </w:rPr>
        <w:t xml:space="preserve">, France) </w:t>
      </w:r>
      <w:r w:rsidR="00716105" w:rsidRPr="000D7BAE">
        <w:rPr>
          <w:rFonts w:asciiTheme="minorBidi" w:hAnsiTheme="minorBidi" w:cstheme="minorBidi"/>
        </w:rPr>
        <w:t xml:space="preserve">organized </w:t>
      </w:r>
      <w:r w:rsidR="000D67B7" w:rsidRPr="000D7BAE">
        <w:rPr>
          <w:rFonts w:asciiTheme="minorBidi" w:hAnsiTheme="minorBidi" w:cstheme="minorBidi"/>
        </w:rPr>
        <w:t>its</w:t>
      </w:r>
      <w:r w:rsidR="00716105" w:rsidRPr="000D7BAE">
        <w:rPr>
          <w:rFonts w:asciiTheme="minorBidi" w:hAnsiTheme="minorBidi" w:cstheme="minorBidi"/>
        </w:rPr>
        <w:t xml:space="preserve"> inaugural </w:t>
      </w:r>
      <w:r w:rsidR="00B05687" w:rsidRPr="000D7BAE">
        <w:rPr>
          <w:rFonts w:asciiTheme="minorBidi" w:hAnsiTheme="minorBidi" w:cstheme="minorBidi"/>
        </w:rPr>
        <w:t>c</w:t>
      </w:r>
      <w:r w:rsidR="00716105" w:rsidRPr="000D7BAE">
        <w:rPr>
          <w:rFonts w:asciiTheme="minorBidi" w:hAnsiTheme="minorBidi" w:cstheme="minorBidi"/>
        </w:rPr>
        <w:t>onference in April 2022</w:t>
      </w:r>
      <w:r w:rsidR="000D67B7" w:rsidRPr="000D7BAE">
        <w:rPr>
          <w:rFonts w:asciiTheme="minorBidi" w:hAnsiTheme="minorBidi" w:cstheme="minorBidi"/>
        </w:rPr>
        <w:t>.</w:t>
      </w:r>
      <w:r w:rsidR="001A7A98" w:rsidRPr="000D7BAE">
        <w:rPr>
          <w:rFonts w:asciiTheme="minorBidi" w:hAnsiTheme="minorBidi" w:cstheme="minorBidi"/>
        </w:rPr>
        <w:t xml:space="preserve"> </w:t>
      </w:r>
    </w:p>
    <w:p w14:paraId="48E816D2" w14:textId="7C2D7A96" w:rsidR="00427694" w:rsidRPr="00E961E4" w:rsidRDefault="001C5A46" w:rsidP="00370292">
      <w:pPr>
        <w:pStyle w:val="GAPara"/>
        <w:numPr>
          <w:ilvl w:val="0"/>
          <w:numId w:val="6"/>
        </w:numPr>
        <w:ind w:left="567" w:hanging="567"/>
        <w:jc w:val="both"/>
      </w:pPr>
      <w:r w:rsidRPr="000D7BAE">
        <w:rPr>
          <w:rFonts w:asciiTheme="minorBidi" w:hAnsiTheme="minorBidi" w:cstheme="minorBidi"/>
          <w:b/>
          <w:bCs/>
        </w:rPr>
        <w:t>Living heritage and education</w:t>
      </w:r>
      <w:r w:rsidRPr="00E961E4">
        <w:rPr>
          <w:rFonts w:asciiTheme="minorBidi" w:hAnsiTheme="minorBidi" w:cstheme="minorBidi"/>
        </w:rPr>
        <w:t>:</w:t>
      </w:r>
      <w:r w:rsidR="009934A8" w:rsidRPr="008C1775">
        <w:rPr>
          <w:rFonts w:asciiTheme="minorBidi" w:hAnsiTheme="minorBidi" w:cstheme="minorBidi"/>
          <w:color w:val="000000"/>
        </w:rPr>
        <w:t xml:space="preserve"> </w:t>
      </w:r>
      <w:r w:rsidR="00F1247E" w:rsidRPr="000D7BAE">
        <w:rPr>
          <w:rFonts w:asciiTheme="minorBidi" w:hAnsiTheme="minorBidi" w:cstheme="minorBidi"/>
          <w:color w:val="000000"/>
        </w:rPr>
        <w:t>T</w:t>
      </w:r>
      <w:r w:rsidR="009934A8" w:rsidRPr="000D7BAE">
        <w:rPr>
          <w:rFonts w:asciiTheme="minorBidi" w:hAnsiTheme="minorBidi" w:cstheme="minorBidi"/>
          <w:color w:val="000000"/>
        </w:rPr>
        <w:t xml:space="preserve">he Secretariat continued </w:t>
      </w:r>
      <w:r w:rsidR="006437D6" w:rsidRPr="000D7BAE">
        <w:rPr>
          <w:rFonts w:asciiTheme="minorBidi" w:hAnsiTheme="minorBidi" w:cstheme="minorBidi"/>
          <w:color w:val="000000"/>
        </w:rPr>
        <w:t xml:space="preserve">its work on the </w:t>
      </w:r>
      <w:r w:rsidR="00F1247E" w:rsidRPr="000D7BAE">
        <w:rPr>
          <w:rFonts w:asciiTheme="minorBidi" w:hAnsiTheme="minorBidi" w:cstheme="minorBidi"/>
          <w:color w:val="000000"/>
        </w:rPr>
        <w:t xml:space="preserve">second funding </w:t>
      </w:r>
      <w:r w:rsidR="006437D6" w:rsidRPr="000D7BAE">
        <w:rPr>
          <w:rFonts w:asciiTheme="minorBidi" w:hAnsiTheme="minorBidi" w:cstheme="minorBidi"/>
          <w:color w:val="000000"/>
        </w:rPr>
        <w:t xml:space="preserve">priority set by the Committee on ‘Safeguarding intangible cultural heritage in formal and non-formal education’ </w:t>
      </w:r>
      <w:r w:rsidR="006437D6" w:rsidRPr="000D7BAE">
        <w:rPr>
          <w:rFonts w:asciiTheme="minorBidi" w:hAnsiTheme="minorBidi" w:cstheme="minorBidi"/>
          <w:bCs/>
        </w:rPr>
        <w:t>(</w:t>
      </w:r>
      <w:r w:rsidR="007D4CC1" w:rsidRPr="00E961E4">
        <w:t xml:space="preserve">Decision </w:t>
      </w:r>
      <w:hyperlink r:id="rId44" w:history="1">
        <w:r w:rsidR="007D4CC1" w:rsidRPr="007D4CC1">
          <w:rPr>
            <w:rStyle w:val="Hyperlink"/>
            <w:rFonts w:asciiTheme="minorBidi" w:hAnsiTheme="minorBidi" w:cstheme="minorBidi"/>
            <w:bCs/>
          </w:rPr>
          <w:t>16.COM 12</w:t>
        </w:r>
      </w:hyperlink>
      <w:r w:rsidR="006437D6" w:rsidRPr="000D7BAE">
        <w:rPr>
          <w:rFonts w:asciiTheme="minorBidi" w:hAnsiTheme="minorBidi" w:cstheme="minorBidi"/>
          <w:bCs/>
        </w:rPr>
        <w:t xml:space="preserve">). </w:t>
      </w:r>
      <w:r w:rsidR="00427694" w:rsidRPr="000D7BAE">
        <w:rPr>
          <w:rFonts w:asciiTheme="minorBidi" w:hAnsiTheme="minorBidi" w:cstheme="minorBidi"/>
          <w:bCs/>
        </w:rPr>
        <w:t xml:space="preserve">Experience sharing and programme analysis with the Education Sector was helpful in the process of further sharpening the scope of the intersectoral </w:t>
      </w:r>
      <w:r w:rsidR="00427694" w:rsidRPr="000D7BAE">
        <w:rPr>
          <w:rFonts w:asciiTheme="minorBidi" w:hAnsiTheme="minorBidi" w:cstheme="minorBidi"/>
        </w:rPr>
        <w:t>programme</w:t>
      </w:r>
      <w:r w:rsidR="00427694" w:rsidRPr="000D7BAE">
        <w:rPr>
          <w:rFonts w:asciiTheme="minorBidi" w:hAnsiTheme="minorBidi" w:cstheme="minorBidi"/>
          <w:bCs/>
        </w:rPr>
        <w:t xml:space="preserve"> and developing a joint programme framework (Recommendation 4 of the IOS evaluation). </w:t>
      </w:r>
      <w:r w:rsidR="00674E5A" w:rsidRPr="000D7BAE">
        <w:rPr>
          <w:rFonts w:asciiTheme="minorBidi" w:hAnsiTheme="minorBidi" w:cstheme="minorBidi"/>
          <w:bCs/>
        </w:rPr>
        <w:t>A</w:t>
      </w:r>
      <w:r w:rsidR="00427694" w:rsidRPr="000D7BAE">
        <w:rPr>
          <w:rFonts w:asciiTheme="minorBidi" w:hAnsiTheme="minorBidi" w:cstheme="minorBidi"/>
          <w:bCs/>
        </w:rPr>
        <w:t xml:space="preserve"> joint theory of change was developed with the Education team of the Harare Office for a project on living heritage and education in Zimbabwe and Namibia, while the important role of living heritage for educational processes, transformation and mutual understanding was discussed and acknowledged in the most recent draft of the </w:t>
      </w:r>
      <w:hyperlink r:id="rId45" w:history="1">
        <w:r w:rsidR="00427694" w:rsidRPr="000D7BAE">
          <w:rPr>
            <w:rStyle w:val="Hyperlink"/>
            <w:rFonts w:asciiTheme="minorBidi" w:hAnsiTheme="minorBidi" w:cstheme="minorBidi"/>
            <w:bCs/>
          </w:rPr>
          <w:t>R</w:t>
        </w:r>
        <w:r w:rsidR="00427694" w:rsidRPr="000D7BAE">
          <w:rPr>
            <w:rStyle w:val="Hyperlink"/>
            <w:rFonts w:asciiTheme="minorBidi" w:hAnsiTheme="minorBidi" w:cstheme="minorBidi"/>
          </w:rPr>
          <w:t>evised Recommendation concerning Education for International Understanding, Co-operation and Peace and Education relating to Human Rights and Fundamental Freedoms (‘1974 Recommendation')</w:t>
        </w:r>
      </w:hyperlink>
      <w:r w:rsidR="00B05687" w:rsidRPr="00E961E4">
        <w:rPr>
          <w:rStyle w:val="Hyperlink"/>
          <w:rFonts w:asciiTheme="minorBidi" w:hAnsiTheme="minorBidi" w:cstheme="minorBidi"/>
          <w:color w:val="auto"/>
          <w:u w:val="none"/>
        </w:rPr>
        <w:t>;</w:t>
      </w:r>
      <w:r w:rsidR="00B05687" w:rsidRPr="00E961E4">
        <w:rPr>
          <w:bCs/>
        </w:rPr>
        <w:t xml:space="preserve"> this is</w:t>
      </w:r>
      <w:r w:rsidR="00427694" w:rsidRPr="000D7BAE">
        <w:rPr>
          <w:rFonts w:asciiTheme="minorBidi" w:hAnsiTheme="minorBidi" w:cstheme="minorBidi"/>
          <w:bCs/>
        </w:rPr>
        <w:t xml:space="preserve"> to be discussed at an Intergovernmental Special Committee Meeting</w:t>
      </w:r>
      <w:r w:rsidR="002413A7" w:rsidRPr="000D7BAE">
        <w:rPr>
          <w:rFonts w:asciiTheme="minorBidi" w:hAnsiTheme="minorBidi" w:cstheme="minorBidi"/>
          <w:bCs/>
        </w:rPr>
        <w:t>,</w:t>
      </w:r>
      <w:r w:rsidR="00427694" w:rsidRPr="000D7BAE">
        <w:rPr>
          <w:rFonts w:asciiTheme="minorBidi" w:hAnsiTheme="minorBidi" w:cstheme="minorBidi"/>
          <w:bCs/>
        </w:rPr>
        <w:t xml:space="preserve"> with a view to </w:t>
      </w:r>
      <w:r w:rsidR="00B05687" w:rsidRPr="000D7BAE">
        <w:rPr>
          <w:rFonts w:asciiTheme="minorBidi" w:hAnsiTheme="minorBidi" w:cstheme="minorBidi"/>
          <w:bCs/>
        </w:rPr>
        <w:t>its submission</w:t>
      </w:r>
      <w:r w:rsidR="00427694" w:rsidRPr="000D7BAE">
        <w:rPr>
          <w:rFonts w:asciiTheme="minorBidi" w:hAnsiTheme="minorBidi" w:cstheme="minorBidi"/>
          <w:bCs/>
        </w:rPr>
        <w:t xml:space="preserve"> to </w:t>
      </w:r>
      <w:r w:rsidR="002413A7" w:rsidRPr="000D7BAE">
        <w:rPr>
          <w:rFonts w:asciiTheme="minorBidi" w:hAnsiTheme="minorBidi" w:cstheme="minorBidi"/>
          <w:bCs/>
        </w:rPr>
        <w:t>UNESCO’s</w:t>
      </w:r>
      <w:r w:rsidR="00427694" w:rsidRPr="000D7BAE">
        <w:rPr>
          <w:rFonts w:asciiTheme="minorBidi" w:hAnsiTheme="minorBidi" w:cstheme="minorBidi"/>
          <w:bCs/>
        </w:rPr>
        <w:t xml:space="preserve"> 42nd</w:t>
      </w:r>
      <w:r w:rsidR="002413A7" w:rsidRPr="000D7BAE">
        <w:rPr>
          <w:rFonts w:asciiTheme="minorBidi" w:hAnsiTheme="minorBidi" w:cstheme="minorBidi"/>
          <w:bCs/>
        </w:rPr>
        <w:t xml:space="preserve"> </w:t>
      </w:r>
      <w:r w:rsidR="00427694" w:rsidRPr="000D7BAE">
        <w:rPr>
          <w:rFonts w:asciiTheme="minorBidi" w:hAnsiTheme="minorBidi" w:cstheme="minorBidi"/>
          <w:bCs/>
        </w:rPr>
        <w:t xml:space="preserve">session of the General Conference in November 2023. The recommendation will provide </w:t>
      </w:r>
      <w:r w:rsidR="00427694" w:rsidRPr="0035053E">
        <w:rPr>
          <w:rFonts w:asciiTheme="minorBidi" w:hAnsiTheme="minorBidi" w:cstheme="minorBidi"/>
          <w:bCs/>
        </w:rPr>
        <w:t xml:space="preserve">a key standard-setting instrument in the field of education and for monitoring the achievement of </w:t>
      </w:r>
      <w:r w:rsidR="008C75B1" w:rsidRPr="0035053E">
        <w:rPr>
          <w:rFonts w:asciiTheme="minorBidi" w:hAnsiTheme="minorBidi" w:cstheme="minorBidi"/>
          <w:bCs/>
        </w:rPr>
        <w:t xml:space="preserve">Sustainable Development Goals </w:t>
      </w:r>
      <w:r w:rsidR="0035053E" w:rsidRPr="0035053E">
        <w:rPr>
          <w:rFonts w:asciiTheme="minorBidi" w:hAnsiTheme="minorBidi" w:cstheme="minorBidi"/>
          <w:bCs/>
        </w:rPr>
        <w:t>SDG</w:t>
      </w:r>
      <w:r w:rsidR="0035053E">
        <w:rPr>
          <w:rFonts w:asciiTheme="minorBidi" w:hAnsiTheme="minorBidi" w:cstheme="minorBidi"/>
          <w:bCs/>
        </w:rPr>
        <w:t> </w:t>
      </w:r>
      <w:r w:rsidR="00427694" w:rsidRPr="0035053E">
        <w:rPr>
          <w:rFonts w:asciiTheme="minorBidi" w:hAnsiTheme="minorBidi" w:cstheme="minorBidi"/>
          <w:bCs/>
        </w:rPr>
        <w:t xml:space="preserve">4, </w:t>
      </w:r>
      <w:r w:rsidR="00427694" w:rsidRPr="00E961E4">
        <w:rPr>
          <w:rFonts w:asciiTheme="minorBidi" w:hAnsiTheme="minorBidi" w:cstheme="minorBidi"/>
          <w:bCs/>
        </w:rPr>
        <w:t>hence the importance</w:t>
      </w:r>
      <w:r w:rsidR="00472BF1" w:rsidRPr="00E961E4">
        <w:rPr>
          <w:rFonts w:asciiTheme="minorBidi" w:hAnsiTheme="minorBidi" w:cstheme="minorBidi"/>
          <w:bCs/>
        </w:rPr>
        <w:t xml:space="preserve"> of having </w:t>
      </w:r>
      <w:r w:rsidR="00427694" w:rsidRPr="00E961E4">
        <w:rPr>
          <w:rFonts w:asciiTheme="minorBidi" w:hAnsiTheme="minorBidi" w:cstheme="minorBidi"/>
          <w:bCs/>
        </w:rPr>
        <w:t>the role of living heritage for education recognized</w:t>
      </w:r>
      <w:r w:rsidR="00472BF1" w:rsidRPr="0035053E">
        <w:rPr>
          <w:rFonts w:asciiTheme="minorBidi" w:hAnsiTheme="minorBidi" w:cstheme="minorBidi"/>
          <w:bCs/>
        </w:rPr>
        <w:t xml:space="preserve"> in the process</w:t>
      </w:r>
      <w:r w:rsidR="00427694" w:rsidRPr="0035053E">
        <w:rPr>
          <w:rFonts w:asciiTheme="minorBidi" w:hAnsiTheme="minorBidi" w:cstheme="minorBidi"/>
          <w:bCs/>
        </w:rPr>
        <w:t>.</w:t>
      </w:r>
    </w:p>
    <w:p w14:paraId="447A2978" w14:textId="77C4D336" w:rsidR="0079486C" w:rsidRPr="00E961E4" w:rsidRDefault="00FC3093" w:rsidP="00E961E4">
      <w:pPr>
        <w:pStyle w:val="GAPara"/>
        <w:keepLines/>
        <w:numPr>
          <w:ilvl w:val="0"/>
          <w:numId w:val="6"/>
        </w:numPr>
        <w:ind w:left="567" w:hanging="567"/>
        <w:jc w:val="both"/>
      </w:pPr>
      <w:r w:rsidRPr="000D7BAE">
        <w:rPr>
          <w:rFonts w:asciiTheme="minorBidi" w:hAnsiTheme="minorBidi" w:cstheme="minorBidi"/>
          <w:bCs/>
        </w:rPr>
        <w:lastRenderedPageBreak/>
        <w:t xml:space="preserve">The </w:t>
      </w:r>
      <w:hyperlink r:id="rId46" w:history="1">
        <w:r w:rsidRPr="000D7BAE">
          <w:rPr>
            <w:rStyle w:val="Hyperlink"/>
            <w:rFonts w:asciiTheme="minorBidi" w:hAnsiTheme="minorBidi" w:cstheme="minorBidi"/>
            <w:bCs/>
          </w:rPr>
          <w:t>Clearing</w:t>
        </w:r>
        <w:r w:rsidR="008C75B1" w:rsidRPr="000D7BAE">
          <w:rPr>
            <w:rStyle w:val="Hyperlink"/>
            <w:rFonts w:asciiTheme="minorBidi" w:hAnsiTheme="minorBidi" w:cstheme="minorBidi"/>
            <w:bCs/>
          </w:rPr>
          <w:t xml:space="preserve"> </w:t>
        </w:r>
        <w:r w:rsidRPr="000D7BAE">
          <w:rPr>
            <w:rStyle w:val="Hyperlink"/>
            <w:rFonts w:asciiTheme="minorBidi" w:hAnsiTheme="minorBidi" w:cstheme="minorBidi"/>
            <w:bCs/>
          </w:rPr>
          <w:t>house on Living heritage and education</w:t>
        </w:r>
      </w:hyperlink>
      <w:r w:rsidR="00CE6EC5" w:rsidRPr="00E961E4">
        <w:rPr>
          <w:rStyle w:val="Hyperlink"/>
          <w:rFonts w:asciiTheme="minorBidi" w:hAnsiTheme="minorBidi" w:cstheme="minorBidi"/>
          <w:bCs/>
          <w:color w:val="auto"/>
          <w:u w:val="none"/>
        </w:rPr>
        <w:t>,</w:t>
      </w:r>
      <w:r w:rsidRPr="00190A30">
        <w:rPr>
          <w:rFonts w:asciiTheme="minorBidi" w:hAnsiTheme="minorBidi" w:cstheme="minorBidi"/>
          <w:bCs/>
        </w:rPr>
        <w:t xml:space="preserve"> with </w:t>
      </w:r>
      <w:r w:rsidRPr="000D7BAE">
        <w:rPr>
          <w:rFonts w:asciiTheme="minorBidi" w:hAnsiTheme="minorBidi" w:cstheme="minorBidi"/>
          <w:bCs/>
        </w:rPr>
        <w:t>projects and resources on the topic</w:t>
      </w:r>
      <w:r w:rsidR="00CE6EC5" w:rsidRPr="000D7BAE">
        <w:rPr>
          <w:rFonts w:asciiTheme="minorBidi" w:hAnsiTheme="minorBidi" w:cstheme="minorBidi"/>
          <w:bCs/>
        </w:rPr>
        <w:t>,</w:t>
      </w:r>
      <w:r w:rsidRPr="000D7BAE">
        <w:rPr>
          <w:rFonts w:asciiTheme="minorBidi" w:hAnsiTheme="minorBidi" w:cstheme="minorBidi"/>
          <w:bCs/>
        </w:rPr>
        <w:t xml:space="preserve"> is now available in three languages (English, French and Spanish)</w:t>
      </w:r>
      <w:r w:rsidR="00CE6EC5" w:rsidRPr="000D7BAE">
        <w:rPr>
          <w:rFonts w:asciiTheme="minorBidi" w:hAnsiTheme="minorBidi" w:cstheme="minorBidi"/>
          <w:bCs/>
        </w:rPr>
        <w:t>.</w:t>
      </w:r>
      <w:r w:rsidRPr="000D7BAE">
        <w:rPr>
          <w:rFonts w:asciiTheme="minorBidi" w:hAnsiTheme="minorBidi" w:cstheme="minorBidi"/>
          <w:bCs/>
        </w:rPr>
        <w:t xml:space="preserve"> </w:t>
      </w:r>
      <w:r w:rsidR="00CE6EC5" w:rsidRPr="000D7BAE">
        <w:rPr>
          <w:rFonts w:asciiTheme="minorBidi" w:hAnsiTheme="minorBidi" w:cstheme="minorBidi"/>
        </w:rPr>
        <w:t>P</w:t>
      </w:r>
      <w:r w:rsidR="00626179" w:rsidRPr="000D7BAE">
        <w:rPr>
          <w:rFonts w:asciiTheme="minorBidi" w:hAnsiTheme="minorBidi" w:cstheme="minorBidi"/>
        </w:rPr>
        <w:t>rojects</w:t>
      </w:r>
      <w:r w:rsidR="006B7C76" w:rsidRPr="000D7BAE">
        <w:rPr>
          <w:rFonts w:asciiTheme="minorBidi" w:hAnsiTheme="minorBidi" w:cstheme="minorBidi"/>
        </w:rPr>
        <w:t xml:space="preserve"> </w:t>
      </w:r>
      <w:r w:rsidR="00AE237B" w:rsidRPr="000D7BAE">
        <w:rPr>
          <w:rFonts w:asciiTheme="minorBidi" w:hAnsiTheme="minorBidi" w:cstheme="minorBidi"/>
        </w:rPr>
        <w:t xml:space="preserve">generating knowledge, methods, and tools to support the transmission of intangible cultural heritage through formal and non-formal education </w:t>
      </w:r>
      <w:r w:rsidR="006437D6" w:rsidRPr="000D7BAE">
        <w:rPr>
          <w:rFonts w:asciiTheme="minorBidi" w:hAnsiTheme="minorBidi" w:cstheme="minorBidi"/>
        </w:rPr>
        <w:t>are being implemented in Latin America</w:t>
      </w:r>
      <w:r w:rsidR="008C75B1" w:rsidRPr="000D7BAE">
        <w:rPr>
          <w:rFonts w:asciiTheme="minorBidi" w:hAnsiTheme="minorBidi" w:cstheme="minorBidi"/>
        </w:rPr>
        <w:t xml:space="preserve"> Caribbean,</w:t>
      </w:r>
      <w:r w:rsidR="006437D6" w:rsidRPr="000D7BAE">
        <w:rPr>
          <w:rFonts w:asciiTheme="minorBidi" w:hAnsiTheme="minorBidi" w:cstheme="minorBidi"/>
        </w:rPr>
        <w:t xml:space="preserve"> Europe, </w:t>
      </w:r>
      <w:r w:rsidR="00D31E1A" w:rsidRPr="000D7BAE">
        <w:rPr>
          <w:rFonts w:asciiTheme="minorBidi" w:hAnsiTheme="minorBidi" w:cstheme="minorBidi"/>
        </w:rPr>
        <w:t xml:space="preserve">Africa </w:t>
      </w:r>
      <w:r w:rsidR="006437D6" w:rsidRPr="000D7BAE">
        <w:rPr>
          <w:rFonts w:asciiTheme="minorBidi" w:hAnsiTheme="minorBidi" w:cstheme="minorBidi"/>
        </w:rPr>
        <w:t>and Asia and the Pacific</w:t>
      </w:r>
      <w:r w:rsidR="00AE237B" w:rsidRPr="000D7BAE">
        <w:rPr>
          <w:rFonts w:asciiTheme="minorBidi" w:hAnsiTheme="minorBidi" w:cstheme="minorBidi"/>
        </w:rPr>
        <w:t>.</w:t>
      </w:r>
      <w:r w:rsidR="006F321F" w:rsidRPr="000D7BAE">
        <w:rPr>
          <w:rFonts w:asciiTheme="minorBidi" w:hAnsiTheme="minorBidi" w:cstheme="minorBidi"/>
        </w:rPr>
        <w:t xml:space="preserve"> </w:t>
      </w:r>
      <w:r w:rsidRPr="000D7BAE">
        <w:rPr>
          <w:rFonts w:asciiTheme="minorBidi" w:hAnsiTheme="minorBidi" w:cstheme="minorBidi"/>
        </w:rPr>
        <w:t>Furthermore, t</w:t>
      </w:r>
      <w:r w:rsidR="006F321F" w:rsidRPr="00E961E4">
        <w:t xml:space="preserve">he rising number of countries </w:t>
      </w:r>
      <w:r w:rsidR="00CE6EC5" w:rsidRPr="00E961E4">
        <w:t>that collaborate</w:t>
      </w:r>
      <w:r w:rsidR="006F321F" w:rsidRPr="00E961E4">
        <w:t xml:space="preserve"> with Field Offices to implement the intersectoral programme on living heritage and education is encouraging</w:t>
      </w:r>
      <w:r w:rsidR="00CE6EC5" w:rsidRPr="00E961E4">
        <w:t>,</w:t>
      </w:r>
      <w:r w:rsidR="006F321F" w:rsidRPr="00E961E4">
        <w:t xml:space="preserve"> with more than </w:t>
      </w:r>
      <w:r w:rsidR="00CE6EC5" w:rsidRPr="00E961E4">
        <w:t>twenty-five</w:t>
      </w:r>
      <w:r w:rsidR="006F321F" w:rsidRPr="00E961E4">
        <w:t xml:space="preserve"> initiatives included in the Culture Sector</w:t>
      </w:r>
      <w:r w:rsidR="00CE6EC5" w:rsidRPr="00E961E4">
        <w:t>’s</w:t>
      </w:r>
      <w:r w:rsidR="0079486C" w:rsidRPr="00E961E4">
        <w:t xml:space="preserve"> work plans</w:t>
      </w:r>
      <w:r w:rsidR="00481A9B" w:rsidRPr="00E961E4">
        <w:t xml:space="preserve"> for this biennium</w:t>
      </w:r>
      <w:r w:rsidR="006F321F" w:rsidRPr="00E961E4">
        <w:t xml:space="preserve">. These achievements are contributing to the implementation of regional frameworks and action plans, such as the Sendai Framework for Disaster Risk Reduction (2015-2030) and the attainment of the Sustainable Development Goals (2030 Agenda), in particular to Goal 4 on Quality Education and Goal 11 on Building Resilient Cities. </w:t>
      </w:r>
      <w:r w:rsidR="0079486C" w:rsidRPr="00E961E4">
        <w:t>Since the successful launch of the first Massive open online course (MOOC) on intangible cultural heritage and sustainable development in January 2022</w:t>
      </w:r>
      <w:r w:rsidR="008B18A0" w:rsidRPr="00E961E4">
        <w:t>,</w:t>
      </w:r>
      <w:r w:rsidR="0079486C" w:rsidRPr="00E961E4">
        <w:t xml:space="preserve"> more than 2550 learners from 160 countries have enrolled </w:t>
      </w:r>
      <w:r w:rsidR="000E22F3" w:rsidRPr="00E961E4">
        <w:t xml:space="preserve">on </w:t>
      </w:r>
      <w:r w:rsidR="0079486C" w:rsidRPr="00E961E4">
        <w:t xml:space="preserve">the course </w:t>
      </w:r>
      <w:r w:rsidR="0056761A" w:rsidRPr="00E961E4">
        <w:t>and followed the</w:t>
      </w:r>
      <w:r w:rsidR="008B18A0" w:rsidRPr="00E961E4">
        <w:t xml:space="preserve"> </w:t>
      </w:r>
      <w:r w:rsidR="0079486C" w:rsidRPr="00E961E4">
        <w:t xml:space="preserve">modules </w:t>
      </w:r>
      <w:r w:rsidR="000E22F3" w:rsidRPr="00E961E4">
        <w:t xml:space="preserve">on </w:t>
      </w:r>
      <w:r w:rsidR="0079486C" w:rsidRPr="00E961E4">
        <w:t xml:space="preserve">the connections between living heritage in areas such as gender equality, education, health, income generation, disasters and peacebuilding. The course has notably attracted </w:t>
      </w:r>
      <w:r w:rsidR="000E22F3" w:rsidRPr="00E961E4">
        <w:t xml:space="preserve">young people among its </w:t>
      </w:r>
      <w:r w:rsidR="008B18A0" w:rsidRPr="00E961E4">
        <w:t>audience</w:t>
      </w:r>
      <w:r w:rsidR="0079486C" w:rsidRPr="00E961E4">
        <w:t xml:space="preserve">. The training material </w:t>
      </w:r>
      <w:r w:rsidR="000E22F3" w:rsidRPr="00E961E4">
        <w:t xml:space="preserve">is currently being adapted </w:t>
      </w:r>
      <w:r w:rsidR="0079486C" w:rsidRPr="00E961E4">
        <w:t>in other linguistic versions.</w:t>
      </w:r>
    </w:p>
    <w:p w14:paraId="41D95A8D" w14:textId="573A6AEF" w:rsidR="004E10F0" w:rsidRPr="000D7BAE" w:rsidRDefault="006B7C76">
      <w:pPr>
        <w:pStyle w:val="GAPara"/>
        <w:numPr>
          <w:ilvl w:val="0"/>
          <w:numId w:val="6"/>
        </w:numPr>
        <w:ind w:left="567" w:hanging="567"/>
        <w:jc w:val="both"/>
      </w:pPr>
      <w:r w:rsidRPr="000D7BAE">
        <w:rPr>
          <w:rFonts w:asciiTheme="minorBidi" w:hAnsiTheme="minorBidi" w:cstheme="minorBidi"/>
          <w:b/>
          <w:bCs/>
        </w:rPr>
        <w:t>Periodic reporting</w:t>
      </w:r>
      <w:r w:rsidRPr="000D7BAE">
        <w:rPr>
          <w:rFonts w:asciiTheme="minorBidi" w:hAnsiTheme="minorBidi" w:cstheme="minorBidi"/>
        </w:rPr>
        <w:t>:</w:t>
      </w:r>
      <w:r w:rsidRPr="000D7BAE">
        <w:t xml:space="preserve"> </w:t>
      </w:r>
      <w:r w:rsidR="005E28DA" w:rsidRPr="000D7BAE">
        <w:t>The Secretariat</w:t>
      </w:r>
      <w:r w:rsidR="004E10F0" w:rsidRPr="000D7BAE">
        <w:t xml:space="preserve"> made a sustained effort </w:t>
      </w:r>
      <w:r w:rsidR="000E22F3" w:rsidRPr="000D7BAE">
        <w:t xml:space="preserve">to </w:t>
      </w:r>
      <w:r w:rsidR="004E10F0" w:rsidRPr="000D7BAE">
        <w:t xml:space="preserve">supporting </w:t>
      </w:r>
      <w:r w:rsidR="005E28DA" w:rsidRPr="000D7BAE">
        <w:t xml:space="preserve">the implementation of </w:t>
      </w:r>
      <w:r w:rsidR="004E10F0" w:rsidRPr="000D7BAE">
        <w:t>the periodic reporting mechanism</w:t>
      </w:r>
      <w:r w:rsidR="00FA61C7" w:rsidRPr="000D7BAE">
        <w:t>s</w:t>
      </w:r>
      <w:r w:rsidR="004E10F0" w:rsidRPr="000D7BAE">
        <w:t xml:space="preserve">. During the reporting period the Secretariat undertook an assessment of a total of </w:t>
      </w:r>
      <w:r w:rsidR="000E22F3" w:rsidRPr="000D7BAE">
        <w:t xml:space="preserve">twenty-four </w:t>
      </w:r>
      <w:r w:rsidR="004E10F0" w:rsidRPr="000D7BAE">
        <w:t xml:space="preserve">reports submitted by </w:t>
      </w:r>
      <w:r w:rsidR="000E22F3" w:rsidRPr="000D7BAE">
        <w:t>eighteen</w:t>
      </w:r>
      <w:r w:rsidR="004E10F0" w:rsidRPr="000D7BAE">
        <w:t xml:space="preserve"> States Parties on the current status of element</w:t>
      </w:r>
      <w:r w:rsidR="000E22F3" w:rsidRPr="000D7BAE">
        <w:t>s</w:t>
      </w:r>
      <w:r w:rsidR="004E10F0" w:rsidRPr="000D7BAE">
        <w:t xml:space="preserve"> inscribed on the Urgent Safeguarding List, which will be examined by the present </w:t>
      </w:r>
      <w:r w:rsidR="004E10F0" w:rsidRPr="00A4713D">
        <w:t>session of the Committee under Item 6.a of the provisional agenda (</w:t>
      </w:r>
      <w:r w:rsidR="00190A30" w:rsidRPr="00E961E4">
        <w:t>document </w:t>
      </w:r>
      <w:hyperlink r:id="rId47" w:history="1">
        <w:r w:rsidR="004E10F0" w:rsidRPr="00E961E4">
          <w:rPr>
            <w:rStyle w:val="Hyperlink"/>
            <w:rFonts w:cs="Arial"/>
          </w:rPr>
          <w:t>LHE/22/17.</w:t>
        </w:r>
        <w:r w:rsidR="00A4713D" w:rsidRPr="00E961E4">
          <w:rPr>
            <w:rStyle w:val="Hyperlink"/>
            <w:rFonts w:cs="Arial"/>
          </w:rPr>
          <w:t>COM </w:t>
        </w:r>
        <w:r w:rsidR="004E10F0" w:rsidRPr="00E961E4">
          <w:rPr>
            <w:rStyle w:val="Hyperlink"/>
            <w:rFonts w:cs="Arial"/>
          </w:rPr>
          <w:t>6.a</w:t>
        </w:r>
      </w:hyperlink>
      <w:r w:rsidR="004E10F0" w:rsidRPr="00A4713D">
        <w:t>). For the periodic reporting on the</w:t>
      </w:r>
      <w:r w:rsidR="009C23DB" w:rsidRPr="00A4713D">
        <w:t xml:space="preserve"> implementation of the Convention and on the current status of elements inscribed on the Representative List, </w:t>
      </w:r>
      <w:r w:rsidR="00D9050C" w:rsidRPr="00A4713D">
        <w:t xml:space="preserve">the Secretariat </w:t>
      </w:r>
      <w:r w:rsidR="000E22F3" w:rsidRPr="00A4713D">
        <w:t xml:space="preserve">has </w:t>
      </w:r>
      <w:r w:rsidR="00D9050C" w:rsidRPr="00A4713D">
        <w:t>provide</w:t>
      </w:r>
      <w:r w:rsidR="000E22F3" w:rsidRPr="00A4713D">
        <w:t>d</w:t>
      </w:r>
      <w:r w:rsidR="00D9050C" w:rsidRPr="00A4713D">
        <w:t xml:space="preserve"> an analytical overview on the reports submitted by the States Parties from Europe for examination by the present session of the Committee under Item 6.b of the provisional agenda (</w:t>
      </w:r>
      <w:r w:rsidR="00D9050C" w:rsidRPr="00E961E4">
        <w:t xml:space="preserve">document </w:t>
      </w:r>
      <w:hyperlink r:id="rId48" w:history="1">
        <w:r w:rsidR="00D9050C" w:rsidRPr="00E961E4">
          <w:rPr>
            <w:rStyle w:val="Hyperlink"/>
            <w:rFonts w:cs="Arial"/>
          </w:rPr>
          <w:t>LHE/22/17.COM 6.</w:t>
        </w:r>
        <w:r w:rsidR="002B403A" w:rsidRPr="00E961E4">
          <w:rPr>
            <w:rStyle w:val="Hyperlink"/>
            <w:rFonts w:cs="Arial"/>
          </w:rPr>
          <w:t>b</w:t>
        </w:r>
      </w:hyperlink>
      <w:r w:rsidR="00D9050C" w:rsidRPr="00A4713D">
        <w:t xml:space="preserve">). </w:t>
      </w:r>
      <w:r w:rsidR="00FF328E" w:rsidRPr="00A4713D">
        <w:t xml:space="preserve">For other regions, </w:t>
      </w:r>
      <w:r w:rsidR="009C23DB" w:rsidRPr="00A4713D">
        <w:t xml:space="preserve">the Secretariat </w:t>
      </w:r>
      <w:r w:rsidR="005418B7" w:rsidRPr="00A4713D">
        <w:t>was in charge of preparing an in-depth analytical report on the periodic reports submitted by States Parties in Latin America and the Caribbean, carry</w:t>
      </w:r>
      <w:r w:rsidR="000E22F3" w:rsidRPr="00A4713D">
        <w:t>ing</w:t>
      </w:r>
      <w:r w:rsidR="005418B7" w:rsidRPr="00A4713D">
        <w:t xml:space="preserve"> out capacity</w:t>
      </w:r>
      <w:r w:rsidR="000E22F3" w:rsidRPr="00A4713D">
        <w:t>-</w:t>
      </w:r>
      <w:r w:rsidR="005418B7" w:rsidRPr="00A4713D">
        <w:t xml:space="preserve">building activities for States Parties in the Arab States, and </w:t>
      </w:r>
      <w:r w:rsidR="000E22F3" w:rsidRPr="00A4713D">
        <w:t xml:space="preserve">initiating </w:t>
      </w:r>
      <w:r w:rsidR="005418B7" w:rsidRPr="00A4713D">
        <w:t xml:space="preserve">the </w:t>
      </w:r>
      <w:r w:rsidR="00FF328E" w:rsidRPr="00A4713D">
        <w:t xml:space="preserve">reporting </w:t>
      </w:r>
      <w:r w:rsidR="005418B7" w:rsidRPr="00A4713D">
        <w:t>process for the States Parties in Africa; an update in this regard will be presented to the present session of the Committee under Item 6.c of the provisional agenda (</w:t>
      </w:r>
      <w:r w:rsidR="005418B7" w:rsidRPr="00E961E4">
        <w:t xml:space="preserve">document </w:t>
      </w:r>
      <w:hyperlink r:id="rId49" w:history="1">
        <w:r w:rsidR="005418B7" w:rsidRPr="00E961E4">
          <w:rPr>
            <w:rStyle w:val="Hyperlink"/>
            <w:rFonts w:cs="Arial"/>
          </w:rPr>
          <w:t>LHE/22/17.COM 6.</w:t>
        </w:r>
        <w:r w:rsidR="002B403A" w:rsidRPr="00E961E4">
          <w:rPr>
            <w:rStyle w:val="Hyperlink"/>
            <w:rFonts w:cs="Arial"/>
          </w:rPr>
          <w:t>c</w:t>
        </w:r>
      </w:hyperlink>
      <w:r w:rsidR="005418B7" w:rsidRPr="00A4713D">
        <w:t>)</w:t>
      </w:r>
      <w:r w:rsidR="00D9050C" w:rsidRPr="00A4713D">
        <w:t>.</w:t>
      </w:r>
    </w:p>
    <w:p w14:paraId="1D8D0141" w14:textId="2BC60758" w:rsidR="00474A2C" w:rsidRPr="000D7BAE" w:rsidRDefault="00941C6A" w:rsidP="00370292">
      <w:pPr>
        <w:pStyle w:val="GAPara"/>
        <w:numPr>
          <w:ilvl w:val="0"/>
          <w:numId w:val="6"/>
        </w:numPr>
        <w:ind w:left="567" w:hanging="567"/>
        <w:jc w:val="both"/>
        <w:rPr>
          <w:rFonts w:asciiTheme="minorBidi" w:hAnsiTheme="minorBidi" w:cstheme="minorBidi"/>
        </w:rPr>
      </w:pPr>
      <w:r w:rsidRPr="000D7BAE">
        <w:rPr>
          <w:rFonts w:asciiTheme="minorBidi" w:hAnsiTheme="minorBidi" w:cstheme="minorBidi"/>
          <w:b/>
          <w:bCs/>
        </w:rPr>
        <w:t xml:space="preserve">Category </w:t>
      </w:r>
      <w:r w:rsidR="00674E5A" w:rsidRPr="000D7BAE">
        <w:rPr>
          <w:rFonts w:asciiTheme="minorBidi" w:hAnsiTheme="minorBidi" w:cstheme="minorBidi"/>
          <w:b/>
          <w:bCs/>
        </w:rPr>
        <w:t xml:space="preserve">2 </w:t>
      </w:r>
      <w:r w:rsidRPr="000D7BAE">
        <w:rPr>
          <w:rFonts w:asciiTheme="minorBidi" w:hAnsiTheme="minorBidi" w:cstheme="minorBidi"/>
          <w:b/>
          <w:bCs/>
        </w:rPr>
        <w:t>centres</w:t>
      </w:r>
      <w:r w:rsidR="00B35768" w:rsidRPr="00E961E4">
        <w:rPr>
          <w:rFonts w:asciiTheme="minorBidi" w:hAnsiTheme="minorBidi" w:cstheme="minorBidi"/>
        </w:rPr>
        <w:t xml:space="preserve">: </w:t>
      </w:r>
      <w:r w:rsidR="003B4C1A" w:rsidRPr="000D7BAE">
        <w:rPr>
          <w:rFonts w:asciiTheme="minorBidi" w:hAnsiTheme="minorBidi" w:cstheme="minorBidi"/>
        </w:rPr>
        <w:t>The Secretariat launched</w:t>
      </w:r>
      <w:r w:rsidR="007721F9" w:rsidRPr="000D7BAE">
        <w:rPr>
          <w:rFonts w:asciiTheme="minorBidi" w:hAnsiTheme="minorBidi" w:cstheme="minorBidi"/>
        </w:rPr>
        <w:t xml:space="preserve"> the preparatory phase for</w:t>
      </w:r>
      <w:r w:rsidR="00881E2A" w:rsidRPr="000D7BAE">
        <w:rPr>
          <w:rFonts w:asciiTheme="minorBidi" w:hAnsiTheme="minorBidi" w:cstheme="minorBidi"/>
        </w:rPr>
        <w:t xml:space="preserve"> the evaluation of</w:t>
      </w:r>
      <w:r w:rsidR="007721F9" w:rsidRPr="000D7BAE">
        <w:rPr>
          <w:rFonts w:asciiTheme="minorBidi" w:hAnsiTheme="minorBidi" w:cstheme="minorBidi"/>
        </w:rPr>
        <w:t xml:space="preserve"> the</w:t>
      </w:r>
      <w:r w:rsidR="003B4C1A" w:rsidRPr="000D7BAE">
        <w:rPr>
          <w:rFonts w:asciiTheme="minorBidi" w:hAnsiTheme="minorBidi" w:cstheme="minorBidi"/>
        </w:rPr>
        <w:t xml:space="preserve"> </w:t>
      </w:r>
      <w:r w:rsidR="00B862C1" w:rsidRPr="000D7BAE">
        <w:rPr>
          <w:rFonts w:asciiTheme="minorBidi" w:hAnsiTheme="minorBidi" w:cstheme="minorBidi"/>
        </w:rPr>
        <w:t>Regional Centre for the Safeguarding of the Intangible Cultural Heritage in South-Eastern Europe</w:t>
      </w:r>
      <w:r w:rsidR="003D15C2" w:rsidRPr="000D7BAE">
        <w:rPr>
          <w:rFonts w:asciiTheme="minorBidi" w:hAnsiTheme="minorBidi" w:cstheme="minorBidi"/>
        </w:rPr>
        <w:t xml:space="preserve">. In addition, the Secretariat </w:t>
      </w:r>
      <w:r w:rsidR="00B20E14" w:rsidRPr="000D7BAE">
        <w:rPr>
          <w:rFonts w:asciiTheme="minorBidi" w:hAnsiTheme="minorBidi" w:cstheme="minorBidi"/>
        </w:rPr>
        <w:t xml:space="preserve">supported the renewal of </w:t>
      </w:r>
      <w:r w:rsidR="00F43B29" w:rsidRPr="000D7BAE">
        <w:rPr>
          <w:rFonts w:asciiTheme="minorBidi" w:hAnsiTheme="minorBidi" w:cstheme="minorBidi"/>
        </w:rPr>
        <w:t>agreement</w:t>
      </w:r>
      <w:r w:rsidR="003D15C2" w:rsidRPr="000D7BAE">
        <w:rPr>
          <w:rFonts w:asciiTheme="minorBidi" w:hAnsiTheme="minorBidi" w:cstheme="minorBidi"/>
        </w:rPr>
        <w:t xml:space="preserve">s concerning </w:t>
      </w:r>
      <w:r w:rsidR="00B712D4" w:rsidRPr="000D7BAE">
        <w:rPr>
          <w:rFonts w:asciiTheme="minorBidi" w:hAnsiTheme="minorBidi" w:cstheme="minorBidi"/>
        </w:rPr>
        <w:t xml:space="preserve">the </w:t>
      </w:r>
      <w:r w:rsidR="003B4C1A" w:rsidRPr="000D7BAE">
        <w:rPr>
          <w:rFonts w:asciiTheme="minorBidi" w:hAnsiTheme="minorBidi" w:cstheme="minorBidi"/>
        </w:rPr>
        <w:t>Regional Centre for the Safeguarding of the Intangible Cultural Heritage of Latin America</w:t>
      </w:r>
      <w:r w:rsidR="00B712D4" w:rsidRPr="000D7BAE">
        <w:rPr>
          <w:rFonts w:asciiTheme="minorBidi" w:hAnsiTheme="minorBidi" w:cstheme="minorBidi"/>
        </w:rPr>
        <w:t xml:space="preserve"> (CRESPIAL</w:t>
      </w:r>
      <w:r w:rsidR="00F43B29" w:rsidRPr="000D7BAE">
        <w:rPr>
          <w:rFonts w:asciiTheme="minorBidi" w:hAnsiTheme="minorBidi" w:cstheme="minorBidi"/>
        </w:rPr>
        <w:t>)</w:t>
      </w:r>
      <w:r w:rsidR="003D15C2" w:rsidRPr="000D7BAE">
        <w:rPr>
          <w:rFonts w:asciiTheme="minorBidi" w:hAnsiTheme="minorBidi" w:cstheme="minorBidi"/>
        </w:rPr>
        <w:t xml:space="preserve"> and </w:t>
      </w:r>
      <w:r w:rsidR="00B712D4" w:rsidRPr="000D7BAE">
        <w:rPr>
          <w:rFonts w:asciiTheme="minorBidi" w:hAnsiTheme="minorBidi" w:cstheme="minorBidi"/>
        </w:rPr>
        <w:t xml:space="preserve">the </w:t>
      </w:r>
      <w:r w:rsidR="003D15C2" w:rsidRPr="000D7BAE">
        <w:rPr>
          <w:rFonts w:asciiTheme="minorBidi" w:hAnsiTheme="minorBidi" w:cstheme="minorBidi"/>
        </w:rPr>
        <w:t>Regional Centre for the Safeguarding of the Intangible Cultural Heritage in Africa</w:t>
      </w:r>
      <w:r w:rsidR="00B712D4" w:rsidRPr="000D7BAE">
        <w:rPr>
          <w:rFonts w:asciiTheme="minorBidi" w:hAnsiTheme="minorBidi" w:cstheme="minorBidi"/>
        </w:rPr>
        <w:t xml:space="preserve"> (CRESPIAF</w:t>
      </w:r>
      <w:r w:rsidR="003D15C2" w:rsidRPr="000D7BAE">
        <w:rPr>
          <w:rFonts w:asciiTheme="minorBidi" w:hAnsiTheme="minorBidi" w:cstheme="minorBidi"/>
        </w:rPr>
        <w:t>).</w:t>
      </w:r>
    </w:p>
    <w:p w14:paraId="4511AE86" w14:textId="2336A09C" w:rsidR="006F5250" w:rsidRPr="000D7BAE" w:rsidRDefault="006F5250" w:rsidP="00370292">
      <w:pPr>
        <w:pStyle w:val="COMPara"/>
        <w:numPr>
          <w:ilvl w:val="0"/>
          <w:numId w:val="0"/>
        </w:numPr>
        <w:spacing w:before="240"/>
        <w:ind w:left="714" w:hanging="357"/>
        <w:jc w:val="both"/>
        <w:rPr>
          <w:rFonts w:asciiTheme="minorBidi" w:hAnsiTheme="minorBidi" w:cstheme="minorBidi"/>
          <w:b/>
          <w:bCs/>
        </w:rPr>
      </w:pPr>
      <w:bookmarkStart w:id="4" w:name="_Hlk114585848"/>
      <w:bookmarkEnd w:id="2"/>
      <w:r w:rsidRPr="000D7BAE">
        <w:rPr>
          <w:rFonts w:asciiTheme="minorBidi" w:hAnsiTheme="minorBidi" w:cstheme="minorBidi"/>
          <w:b/>
          <w:bCs/>
        </w:rPr>
        <w:t xml:space="preserve">IV. </w:t>
      </w:r>
      <w:r w:rsidR="00377047" w:rsidRPr="000D7BAE">
        <w:rPr>
          <w:rFonts w:asciiTheme="minorBidi" w:hAnsiTheme="minorBidi" w:cstheme="minorBidi"/>
          <w:b/>
          <w:bCs/>
        </w:rPr>
        <w:t>W</w:t>
      </w:r>
      <w:r w:rsidRPr="000D7BAE">
        <w:rPr>
          <w:rFonts w:asciiTheme="minorBidi" w:hAnsiTheme="minorBidi" w:cstheme="minorBidi"/>
          <w:b/>
          <w:bCs/>
        </w:rPr>
        <w:t>ays forward</w:t>
      </w:r>
    </w:p>
    <w:bookmarkEnd w:id="4"/>
    <w:p w14:paraId="7C680176" w14:textId="50C27047" w:rsidR="00465C4A" w:rsidRPr="000D7BAE" w:rsidRDefault="00465C4A">
      <w:pPr>
        <w:pStyle w:val="GAPara"/>
        <w:numPr>
          <w:ilvl w:val="0"/>
          <w:numId w:val="6"/>
        </w:numPr>
        <w:ind w:left="567" w:hanging="567"/>
        <w:jc w:val="both"/>
        <w:rPr>
          <w:rFonts w:asciiTheme="minorBidi" w:hAnsiTheme="minorBidi" w:cstheme="minorBidi"/>
        </w:rPr>
      </w:pPr>
      <w:r w:rsidRPr="000D7BAE">
        <w:rPr>
          <w:rFonts w:asciiTheme="minorBidi" w:hAnsiTheme="minorBidi" w:cstheme="minorBidi"/>
        </w:rPr>
        <w:t>Even though the reporting period only</w:t>
      </w:r>
      <w:r w:rsidR="00A05785" w:rsidRPr="000D7BAE">
        <w:rPr>
          <w:rFonts w:asciiTheme="minorBidi" w:hAnsiTheme="minorBidi" w:cstheme="minorBidi"/>
        </w:rPr>
        <w:t xml:space="preserve"> </w:t>
      </w:r>
      <w:r w:rsidR="000E22F3" w:rsidRPr="000D7BAE">
        <w:rPr>
          <w:rFonts w:asciiTheme="minorBidi" w:hAnsiTheme="minorBidi" w:cstheme="minorBidi"/>
        </w:rPr>
        <w:t xml:space="preserve">covers </w:t>
      </w:r>
      <w:r w:rsidR="00A05785" w:rsidRPr="000D7BAE">
        <w:rPr>
          <w:rFonts w:asciiTheme="minorBidi" w:hAnsiTheme="minorBidi" w:cstheme="minorBidi"/>
        </w:rPr>
        <w:t>a six</w:t>
      </w:r>
      <w:r w:rsidR="00C343C0" w:rsidRPr="000D7BAE">
        <w:rPr>
          <w:rFonts w:asciiTheme="minorBidi" w:hAnsiTheme="minorBidi" w:cstheme="minorBidi"/>
        </w:rPr>
        <w:t>-month</w:t>
      </w:r>
      <w:r w:rsidR="00A05785" w:rsidRPr="000D7BAE">
        <w:rPr>
          <w:rFonts w:asciiTheme="minorBidi" w:hAnsiTheme="minorBidi" w:cstheme="minorBidi"/>
        </w:rPr>
        <w:t xml:space="preserve"> period, the present report reflects how intense the </w:t>
      </w:r>
      <w:r w:rsidR="000E22F3" w:rsidRPr="000D7BAE">
        <w:rPr>
          <w:rFonts w:asciiTheme="minorBidi" w:hAnsiTheme="minorBidi" w:cstheme="minorBidi"/>
        </w:rPr>
        <w:t xml:space="preserve">Secretariat’s </w:t>
      </w:r>
      <w:r w:rsidR="00A05785" w:rsidRPr="000D7BAE">
        <w:rPr>
          <w:rFonts w:asciiTheme="minorBidi" w:hAnsiTheme="minorBidi" w:cstheme="minorBidi"/>
        </w:rPr>
        <w:t xml:space="preserve">operations </w:t>
      </w:r>
      <w:r w:rsidR="00763035" w:rsidRPr="000D7BAE">
        <w:rPr>
          <w:rFonts w:asciiTheme="minorBidi" w:hAnsiTheme="minorBidi" w:cstheme="minorBidi"/>
        </w:rPr>
        <w:t xml:space="preserve">have </w:t>
      </w:r>
      <w:r w:rsidR="0048677C" w:rsidRPr="000D7BAE">
        <w:rPr>
          <w:rFonts w:asciiTheme="minorBidi" w:hAnsiTheme="minorBidi" w:cstheme="minorBidi"/>
        </w:rPr>
        <w:t>been</w:t>
      </w:r>
      <w:r w:rsidR="000E22F3" w:rsidRPr="000D7BAE">
        <w:rPr>
          <w:rFonts w:asciiTheme="minorBidi" w:hAnsiTheme="minorBidi" w:cstheme="minorBidi"/>
        </w:rPr>
        <w:t>, covering numerous areas, to</w:t>
      </w:r>
      <w:r w:rsidR="0048677C" w:rsidRPr="000D7BAE">
        <w:rPr>
          <w:rFonts w:asciiTheme="minorBidi" w:hAnsiTheme="minorBidi" w:cstheme="minorBidi"/>
        </w:rPr>
        <w:t xml:space="preserve"> support the </w:t>
      </w:r>
      <w:r w:rsidR="00240379" w:rsidRPr="000D7BAE">
        <w:rPr>
          <w:rFonts w:asciiTheme="minorBidi" w:hAnsiTheme="minorBidi" w:cstheme="minorBidi"/>
        </w:rPr>
        <w:t>decision</w:t>
      </w:r>
      <w:r w:rsidR="00CE7B5F" w:rsidRPr="000D7BAE">
        <w:rPr>
          <w:rFonts w:asciiTheme="minorBidi" w:hAnsiTheme="minorBidi" w:cstheme="minorBidi"/>
        </w:rPr>
        <w:t>-</w:t>
      </w:r>
      <w:r w:rsidR="00240379" w:rsidRPr="000D7BAE">
        <w:rPr>
          <w:rFonts w:asciiTheme="minorBidi" w:hAnsiTheme="minorBidi" w:cstheme="minorBidi"/>
        </w:rPr>
        <w:t xml:space="preserve">making process </w:t>
      </w:r>
      <w:r w:rsidR="0048677C" w:rsidRPr="000D7BAE">
        <w:rPr>
          <w:rFonts w:asciiTheme="minorBidi" w:hAnsiTheme="minorBidi" w:cstheme="minorBidi"/>
        </w:rPr>
        <w:t>of the governing bodies of the Convention</w:t>
      </w:r>
      <w:r w:rsidR="000E22F3" w:rsidRPr="000D7BAE">
        <w:rPr>
          <w:rFonts w:asciiTheme="minorBidi" w:hAnsiTheme="minorBidi" w:cstheme="minorBidi"/>
        </w:rPr>
        <w:t>, while at the same time</w:t>
      </w:r>
      <w:r w:rsidR="00763035" w:rsidRPr="000D7BAE">
        <w:rPr>
          <w:rFonts w:asciiTheme="minorBidi" w:hAnsiTheme="minorBidi" w:cstheme="minorBidi"/>
        </w:rPr>
        <w:t xml:space="preserve"> </w:t>
      </w:r>
      <w:r w:rsidR="00240379" w:rsidRPr="000D7BAE">
        <w:rPr>
          <w:rFonts w:asciiTheme="minorBidi" w:hAnsiTheme="minorBidi" w:cstheme="minorBidi"/>
        </w:rPr>
        <w:t>administering different international cooperation</w:t>
      </w:r>
      <w:r w:rsidR="000E22F3" w:rsidRPr="000D7BAE">
        <w:rPr>
          <w:rFonts w:asciiTheme="minorBidi" w:hAnsiTheme="minorBidi" w:cstheme="minorBidi"/>
        </w:rPr>
        <w:t xml:space="preserve"> mechanisms, carrying out</w:t>
      </w:r>
      <w:r w:rsidR="00240379" w:rsidRPr="000D7BAE">
        <w:rPr>
          <w:rFonts w:asciiTheme="minorBidi" w:hAnsiTheme="minorBidi" w:cstheme="minorBidi"/>
        </w:rPr>
        <w:t xml:space="preserve"> operational projects</w:t>
      </w:r>
      <w:r w:rsidR="00763035" w:rsidRPr="000D7BAE">
        <w:rPr>
          <w:rFonts w:asciiTheme="minorBidi" w:hAnsiTheme="minorBidi" w:cstheme="minorBidi"/>
        </w:rPr>
        <w:t xml:space="preserve">; </w:t>
      </w:r>
      <w:r w:rsidR="0005273A" w:rsidRPr="000D7BAE">
        <w:rPr>
          <w:rFonts w:asciiTheme="minorBidi" w:hAnsiTheme="minorBidi" w:cstheme="minorBidi"/>
        </w:rPr>
        <w:t>expanding the capacity-building approach</w:t>
      </w:r>
      <w:r w:rsidR="000E22F3" w:rsidRPr="000D7BAE">
        <w:rPr>
          <w:rFonts w:asciiTheme="minorBidi" w:hAnsiTheme="minorBidi" w:cstheme="minorBidi"/>
        </w:rPr>
        <w:t>,</w:t>
      </w:r>
      <w:r w:rsidR="0005273A" w:rsidRPr="000D7BAE">
        <w:rPr>
          <w:rFonts w:asciiTheme="minorBidi" w:hAnsiTheme="minorBidi" w:cstheme="minorBidi"/>
        </w:rPr>
        <w:t xml:space="preserve"> </w:t>
      </w:r>
      <w:r w:rsidR="00240379" w:rsidRPr="000D7BAE">
        <w:rPr>
          <w:rFonts w:asciiTheme="minorBidi" w:hAnsiTheme="minorBidi" w:cstheme="minorBidi"/>
        </w:rPr>
        <w:t>responding to emergency situations</w:t>
      </w:r>
      <w:r w:rsidR="000E22F3" w:rsidRPr="000D7BAE">
        <w:rPr>
          <w:rFonts w:asciiTheme="minorBidi" w:hAnsiTheme="minorBidi" w:cstheme="minorBidi"/>
        </w:rPr>
        <w:t>,</w:t>
      </w:r>
      <w:r w:rsidR="00240379" w:rsidRPr="000D7BAE">
        <w:rPr>
          <w:rFonts w:asciiTheme="minorBidi" w:hAnsiTheme="minorBidi" w:cstheme="minorBidi"/>
        </w:rPr>
        <w:t xml:space="preserve"> and developing new thematic areas</w:t>
      </w:r>
      <w:r w:rsidR="00763035" w:rsidRPr="000D7BAE">
        <w:rPr>
          <w:rFonts w:asciiTheme="minorBidi" w:hAnsiTheme="minorBidi" w:cstheme="minorBidi"/>
        </w:rPr>
        <w:t>.</w:t>
      </w:r>
      <w:r w:rsidR="009D0AF1" w:rsidRPr="000D7BAE">
        <w:rPr>
          <w:rFonts w:asciiTheme="minorBidi" w:hAnsiTheme="minorBidi" w:cstheme="minorBidi"/>
        </w:rPr>
        <w:t xml:space="preserve"> Going forward, three areas of intervention </w:t>
      </w:r>
      <w:r w:rsidR="00763035" w:rsidRPr="000D7BAE">
        <w:rPr>
          <w:rFonts w:asciiTheme="minorBidi" w:hAnsiTheme="minorBidi" w:cstheme="minorBidi"/>
        </w:rPr>
        <w:t>seem worth highlighting</w:t>
      </w:r>
      <w:r w:rsidR="009D0AF1" w:rsidRPr="000D7BAE">
        <w:rPr>
          <w:rFonts w:asciiTheme="minorBidi" w:hAnsiTheme="minorBidi" w:cstheme="minorBidi"/>
        </w:rPr>
        <w:t>.</w:t>
      </w:r>
    </w:p>
    <w:p w14:paraId="36AA5E04" w14:textId="1C13914F" w:rsidR="00CE7B5F" w:rsidRPr="000D7BAE" w:rsidRDefault="00CE7B5F" w:rsidP="00E961E4">
      <w:pPr>
        <w:pStyle w:val="GAPara"/>
        <w:keepLines/>
        <w:numPr>
          <w:ilvl w:val="0"/>
          <w:numId w:val="6"/>
        </w:numPr>
        <w:ind w:left="567" w:hanging="567"/>
        <w:jc w:val="both"/>
      </w:pPr>
      <w:r w:rsidRPr="000D7BAE">
        <w:lastRenderedPageBreak/>
        <w:t>The outcomes from the global reflection on the listing mechanisms are particularly encouraging and mark an important step toward the future development of the Convention. The approved revisions to the Operational Directives should serve to reinforce the credibility and operationali</w:t>
      </w:r>
      <w:r w:rsidR="00675C5A" w:rsidRPr="000D7BAE">
        <w:t>z</w:t>
      </w:r>
      <w:r w:rsidRPr="000D7BAE">
        <w:t xml:space="preserve">ation of the listing mechanisms. </w:t>
      </w:r>
      <w:r w:rsidR="00763035" w:rsidRPr="00E961E4">
        <w:rPr>
          <w:rFonts w:asciiTheme="minorBidi" w:hAnsiTheme="minorBidi" w:cstheme="minorBidi"/>
        </w:rPr>
        <w:t>I</w:t>
      </w:r>
      <w:r w:rsidR="0005273A" w:rsidRPr="00E961E4">
        <w:rPr>
          <w:rFonts w:asciiTheme="minorBidi" w:hAnsiTheme="minorBidi" w:cstheme="minorBidi"/>
        </w:rPr>
        <w:t xml:space="preserve">t </w:t>
      </w:r>
      <w:r w:rsidR="00675C5A" w:rsidRPr="00E961E4">
        <w:rPr>
          <w:rFonts w:asciiTheme="minorBidi" w:hAnsiTheme="minorBidi" w:cstheme="minorBidi"/>
        </w:rPr>
        <w:t>is</w:t>
      </w:r>
      <w:r w:rsidR="0005273A" w:rsidRPr="00E961E4">
        <w:rPr>
          <w:rFonts w:asciiTheme="minorBidi" w:hAnsiTheme="minorBidi" w:cstheme="minorBidi"/>
        </w:rPr>
        <w:t xml:space="preserve"> important to </w:t>
      </w:r>
      <w:r w:rsidR="00763035" w:rsidRPr="00E961E4">
        <w:rPr>
          <w:rFonts w:asciiTheme="minorBidi" w:hAnsiTheme="minorBidi" w:cstheme="minorBidi"/>
        </w:rPr>
        <w:t xml:space="preserve">allow </w:t>
      </w:r>
      <w:r w:rsidR="0005273A" w:rsidRPr="00E961E4">
        <w:rPr>
          <w:rFonts w:asciiTheme="minorBidi" w:hAnsiTheme="minorBidi" w:cstheme="minorBidi"/>
        </w:rPr>
        <w:t xml:space="preserve">time for the results of the global reflection on the listing mechanisms to take </w:t>
      </w:r>
      <w:r w:rsidR="00763035" w:rsidRPr="00E961E4">
        <w:rPr>
          <w:rFonts w:asciiTheme="minorBidi" w:hAnsiTheme="minorBidi" w:cstheme="minorBidi"/>
        </w:rPr>
        <w:t xml:space="preserve">effect, as </w:t>
      </w:r>
      <w:r w:rsidR="0005273A" w:rsidRPr="00E961E4">
        <w:rPr>
          <w:rFonts w:asciiTheme="minorBidi" w:hAnsiTheme="minorBidi" w:cstheme="minorBidi"/>
        </w:rPr>
        <w:t>the re</w:t>
      </w:r>
      <w:r w:rsidR="00763035" w:rsidRPr="00E961E4">
        <w:rPr>
          <w:rFonts w:asciiTheme="minorBidi" w:hAnsiTheme="minorBidi" w:cstheme="minorBidi"/>
        </w:rPr>
        <w:t xml:space="preserve">visions to the </w:t>
      </w:r>
      <w:r w:rsidR="001825E9" w:rsidRPr="00E961E4">
        <w:rPr>
          <w:rFonts w:asciiTheme="minorBidi" w:hAnsiTheme="minorBidi" w:cstheme="minorBidi"/>
        </w:rPr>
        <w:t>O</w:t>
      </w:r>
      <w:r w:rsidR="00763035" w:rsidRPr="00E961E4">
        <w:rPr>
          <w:rFonts w:asciiTheme="minorBidi" w:hAnsiTheme="minorBidi" w:cstheme="minorBidi"/>
        </w:rPr>
        <w:t xml:space="preserve">perational </w:t>
      </w:r>
      <w:r w:rsidR="001825E9" w:rsidRPr="00E961E4">
        <w:rPr>
          <w:rFonts w:asciiTheme="minorBidi" w:hAnsiTheme="minorBidi" w:cstheme="minorBidi"/>
        </w:rPr>
        <w:t>D</w:t>
      </w:r>
      <w:r w:rsidR="00763035" w:rsidRPr="00E961E4">
        <w:rPr>
          <w:rFonts w:asciiTheme="minorBidi" w:hAnsiTheme="minorBidi" w:cstheme="minorBidi"/>
        </w:rPr>
        <w:t>irectives</w:t>
      </w:r>
      <w:r w:rsidR="0005273A" w:rsidRPr="00E961E4">
        <w:rPr>
          <w:rFonts w:asciiTheme="minorBidi" w:hAnsiTheme="minorBidi" w:cstheme="minorBidi"/>
        </w:rPr>
        <w:t xml:space="preserve"> touched </w:t>
      </w:r>
      <w:r w:rsidR="00675C5A" w:rsidRPr="00E961E4">
        <w:rPr>
          <w:rFonts w:asciiTheme="minorBidi" w:hAnsiTheme="minorBidi" w:cstheme="minorBidi"/>
        </w:rPr>
        <w:t xml:space="preserve">upon </w:t>
      </w:r>
      <w:r w:rsidR="0005273A" w:rsidRPr="00E961E4">
        <w:rPr>
          <w:rFonts w:asciiTheme="minorBidi" w:hAnsiTheme="minorBidi" w:cstheme="minorBidi"/>
        </w:rPr>
        <w:t xml:space="preserve">many aspects that </w:t>
      </w:r>
      <w:r w:rsidR="00763035" w:rsidRPr="00E961E4">
        <w:rPr>
          <w:rFonts w:asciiTheme="minorBidi" w:hAnsiTheme="minorBidi" w:cstheme="minorBidi"/>
        </w:rPr>
        <w:t xml:space="preserve">will </w:t>
      </w:r>
      <w:r w:rsidR="00675C5A" w:rsidRPr="00E961E4">
        <w:rPr>
          <w:rFonts w:asciiTheme="minorBidi" w:hAnsiTheme="minorBidi" w:cstheme="minorBidi"/>
        </w:rPr>
        <w:t xml:space="preserve">need to be </w:t>
      </w:r>
      <w:r w:rsidR="0005273A" w:rsidRPr="00E961E4">
        <w:rPr>
          <w:rFonts w:asciiTheme="minorBidi" w:hAnsiTheme="minorBidi" w:cstheme="minorBidi"/>
        </w:rPr>
        <w:t>implemented through several cycles</w:t>
      </w:r>
      <w:r w:rsidR="00763035" w:rsidRPr="00E961E4">
        <w:rPr>
          <w:rFonts w:asciiTheme="minorBidi" w:hAnsiTheme="minorBidi" w:cstheme="minorBidi"/>
        </w:rPr>
        <w:t xml:space="preserve"> before </w:t>
      </w:r>
      <w:r w:rsidR="00675C5A" w:rsidRPr="00E961E4">
        <w:rPr>
          <w:rFonts w:asciiTheme="minorBidi" w:hAnsiTheme="minorBidi" w:cstheme="minorBidi"/>
        </w:rPr>
        <w:t>the</w:t>
      </w:r>
      <w:r w:rsidR="00763035" w:rsidRPr="00E961E4">
        <w:rPr>
          <w:rFonts w:asciiTheme="minorBidi" w:hAnsiTheme="minorBidi" w:cstheme="minorBidi"/>
        </w:rPr>
        <w:t xml:space="preserve"> effects can be assessed</w:t>
      </w:r>
      <w:r w:rsidR="00715392" w:rsidRPr="00E961E4">
        <w:rPr>
          <w:rFonts w:asciiTheme="minorBidi" w:hAnsiTheme="minorBidi" w:cstheme="minorBidi"/>
        </w:rPr>
        <w:t xml:space="preserve"> in a reliable way</w:t>
      </w:r>
      <w:r w:rsidR="0005273A" w:rsidRPr="00E961E4">
        <w:rPr>
          <w:rFonts w:asciiTheme="minorBidi" w:hAnsiTheme="minorBidi" w:cstheme="minorBidi"/>
        </w:rPr>
        <w:t xml:space="preserve">. At the same time, </w:t>
      </w:r>
      <w:r w:rsidR="00164B03" w:rsidRPr="00E961E4">
        <w:rPr>
          <w:rFonts w:asciiTheme="minorBidi" w:hAnsiTheme="minorBidi" w:cstheme="minorBidi"/>
        </w:rPr>
        <w:t>the</w:t>
      </w:r>
      <w:r w:rsidR="0037324A" w:rsidRPr="00E961E4">
        <w:rPr>
          <w:rFonts w:asciiTheme="minorBidi" w:hAnsiTheme="minorBidi" w:cstheme="minorBidi"/>
        </w:rPr>
        <w:t xml:space="preserve"> Secretariat </w:t>
      </w:r>
      <w:r w:rsidR="0005273A" w:rsidRPr="00E961E4">
        <w:rPr>
          <w:rFonts w:asciiTheme="minorBidi" w:hAnsiTheme="minorBidi" w:cstheme="minorBidi"/>
        </w:rPr>
        <w:t>lost no time in starting the</w:t>
      </w:r>
      <w:r w:rsidR="0037324A" w:rsidRPr="00E961E4">
        <w:rPr>
          <w:rFonts w:asciiTheme="minorBidi" w:hAnsiTheme="minorBidi" w:cstheme="minorBidi"/>
        </w:rPr>
        <w:t xml:space="preserve"> preparation</w:t>
      </w:r>
      <w:r w:rsidR="00675C5A" w:rsidRPr="00E961E4">
        <w:rPr>
          <w:rFonts w:asciiTheme="minorBidi" w:hAnsiTheme="minorBidi" w:cstheme="minorBidi"/>
        </w:rPr>
        <w:t>s</w:t>
      </w:r>
      <w:r w:rsidR="0037324A" w:rsidRPr="00E961E4">
        <w:rPr>
          <w:rFonts w:asciiTheme="minorBidi" w:hAnsiTheme="minorBidi" w:cstheme="minorBidi"/>
        </w:rPr>
        <w:t xml:space="preserve"> </w:t>
      </w:r>
      <w:r w:rsidR="00675C5A" w:rsidRPr="00E961E4">
        <w:rPr>
          <w:rFonts w:asciiTheme="minorBidi" w:hAnsiTheme="minorBidi" w:cstheme="minorBidi"/>
        </w:rPr>
        <w:t xml:space="preserve">to </w:t>
      </w:r>
      <w:r w:rsidR="0037324A" w:rsidRPr="00E961E4">
        <w:rPr>
          <w:rFonts w:asciiTheme="minorBidi" w:hAnsiTheme="minorBidi" w:cstheme="minorBidi"/>
        </w:rPr>
        <w:t xml:space="preserve">support the new reflection on a broader implementation of Article 18 of the Convention. </w:t>
      </w:r>
      <w:r w:rsidR="00675C5A" w:rsidRPr="00E961E4">
        <w:rPr>
          <w:rFonts w:asciiTheme="minorBidi" w:hAnsiTheme="minorBidi" w:cstheme="minorBidi"/>
        </w:rPr>
        <w:t>T</w:t>
      </w:r>
      <w:r w:rsidR="0037324A" w:rsidRPr="00E961E4">
        <w:rPr>
          <w:rFonts w:asciiTheme="minorBidi" w:hAnsiTheme="minorBidi" w:cstheme="minorBidi"/>
        </w:rPr>
        <w:t xml:space="preserve">his </w:t>
      </w:r>
      <w:r w:rsidR="00164B03" w:rsidRPr="00E961E4">
        <w:rPr>
          <w:rFonts w:asciiTheme="minorBidi" w:hAnsiTheme="minorBidi" w:cstheme="minorBidi"/>
        </w:rPr>
        <w:t xml:space="preserve">intergovernmental reflection </w:t>
      </w:r>
      <w:r w:rsidR="00675C5A" w:rsidRPr="00E961E4">
        <w:rPr>
          <w:rFonts w:asciiTheme="minorBidi" w:hAnsiTheme="minorBidi" w:cstheme="minorBidi"/>
        </w:rPr>
        <w:t xml:space="preserve">is expected to </w:t>
      </w:r>
      <w:r w:rsidR="00164B03" w:rsidRPr="00E961E4">
        <w:rPr>
          <w:rFonts w:asciiTheme="minorBidi" w:hAnsiTheme="minorBidi" w:cstheme="minorBidi"/>
        </w:rPr>
        <w:t>bring the Convention to yet another level of maturity</w:t>
      </w:r>
      <w:r w:rsidR="0005273A" w:rsidRPr="00E961E4">
        <w:rPr>
          <w:rFonts w:asciiTheme="minorBidi" w:hAnsiTheme="minorBidi" w:cstheme="minorBidi"/>
        </w:rPr>
        <w:t>,</w:t>
      </w:r>
      <w:r w:rsidR="00164B03" w:rsidRPr="00E961E4">
        <w:rPr>
          <w:rFonts w:asciiTheme="minorBidi" w:hAnsiTheme="minorBidi" w:cstheme="minorBidi"/>
        </w:rPr>
        <w:t xml:space="preserve"> allowing </w:t>
      </w:r>
      <w:r w:rsidR="00675C5A" w:rsidRPr="00E961E4">
        <w:rPr>
          <w:rFonts w:asciiTheme="minorBidi" w:hAnsiTheme="minorBidi" w:cstheme="minorBidi"/>
        </w:rPr>
        <w:t xml:space="preserve">for </w:t>
      </w:r>
      <w:r w:rsidR="00164B03" w:rsidRPr="00E961E4">
        <w:rPr>
          <w:rFonts w:asciiTheme="minorBidi" w:hAnsiTheme="minorBidi" w:cstheme="minorBidi"/>
        </w:rPr>
        <w:t xml:space="preserve">deeper dialogue and collaboration amongst the </w:t>
      </w:r>
      <w:r w:rsidR="00763035" w:rsidRPr="00E961E4">
        <w:rPr>
          <w:rFonts w:asciiTheme="minorBidi" w:hAnsiTheme="minorBidi" w:cstheme="minorBidi"/>
        </w:rPr>
        <w:t xml:space="preserve">various </w:t>
      </w:r>
      <w:r w:rsidR="00164B03" w:rsidRPr="00E961E4">
        <w:rPr>
          <w:rFonts w:asciiTheme="minorBidi" w:hAnsiTheme="minorBidi" w:cstheme="minorBidi"/>
        </w:rPr>
        <w:t xml:space="preserve">stakeholders around the theme of </w:t>
      </w:r>
      <w:r w:rsidR="00763035" w:rsidRPr="00E961E4">
        <w:rPr>
          <w:rFonts w:asciiTheme="minorBidi" w:hAnsiTheme="minorBidi" w:cstheme="minorBidi"/>
        </w:rPr>
        <w:t xml:space="preserve">good practices for safeguarding </w:t>
      </w:r>
      <w:r w:rsidR="00164B03" w:rsidRPr="00E961E4">
        <w:rPr>
          <w:rFonts w:asciiTheme="minorBidi" w:hAnsiTheme="minorBidi" w:cstheme="minorBidi"/>
        </w:rPr>
        <w:t>living heritage.</w:t>
      </w:r>
    </w:p>
    <w:p w14:paraId="23768A3C" w14:textId="219E99D9" w:rsidR="00FD29D9" w:rsidRPr="000D7BAE" w:rsidRDefault="00FD29D9" w:rsidP="00B03E9E">
      <w:pPr>
        <w:pStyle w:val="GAPara"/>
        <w:numPr>
          <w:ilvl w:val="0"/>
          <w:numId w:val="6"/>
        </w:numPr>
        <w:ind w:left="567" w:hanging="567"/>
        <w:jc w:val="both"/>
      </w:pPr>
      <w:r w:rsidRPr="000D7BAE">
        <w:t xml:space="preserve">The marked improvement in the submission rates of periodic reports in the two regions where </w:t>
      </w:r>
      <w:r w:rsidRPr="000D7BAE">
        <w:rPr>
          <w:rFonts w:asciiTheme="minorBidi" w:hAnsiTheme="minorBidi" w:cstheme="minorBidi"/>
        </w:rPr>
        <w:t>the</w:t>
      </w:r>
      <w:r w:rsidRPr="000D7BAE">
        <w:t xml:space="preserve"> reformed system </w:t>
      </w:r>
      <w:r w:rsidR="00616D8C" w:rsidRPr="000D7BAE">
        <w:t xml:space="preserve">has been </w:t>
      </w:r>
      <w:r w:rsidRPr="000D7BAE">
        <w:t xml:space="preserve">applied </w:t>
      </w:r>
      <w:r w:rsidR="00616D8C" w:rsidRPr="000D7BAE">
        <w:t>so far</w:t>
      </w:r>
      <w:r w:rsidRPr="000D7BAE">
        <w:t xml:space="preserve"> reflects a broad participation of States Parties. Provided that the positive </w:t>
      </w:r>
      <w:r w:rsidRPr="000D7BAE">
        <w:rPr>
          <w:rFonts w:asciiTheme="minorBidi" w:hAnsiTheme="minorBidi" w:cstheme="minorBidi"/>
        </w:rPr>
        <w:t>trend</w:t>
      </w:r>
      <w:r w:rsidRPr="000D7BAE">
        <w:t xml:space="preserve"> in the submission of reports continues in the following cycles, the overall effectiveness of the reporting system in informing future decision-making will depend on </w:t>
      </w:r>
      <w:r w:rsidR="00616D8C" w:rsidRPr="000D7BAE">
        <w:t>how the extensive</w:t>
      </w:r>
      <w:r w:rsidRPr="000D7BAE">
        <w:t xml:space="preserve"> data produced </w:t>
      </w:r>
      <w:r w:rsidR="00616D8C" w:rsidRPr="000D7BAE">
        <w:t>are</w:t>
      </w:r>
      <w:r w:rsidRPr="000D7BAE">
        <w:t xml:space="preserve"> treated and made available. As the 2021 IOS Evaluation highlighted,</w:t>
      </w:r>
      <w:r w:rsidR="001825E9" w:rsidRPr="000D7BAE">
        <w:t xml:space="preserve"> </w:t>
      </w:r>
      <w:r w:rsidRPr="000D7BAE">
        <w:t>further reflection</w:t>
      </w:r>
      <w:r w:rsidR="00616D8C" w:rsidRPr="000D7BAE">
        <w:t>s</w:t>
      </w:r>
      <w:r w:rsidRPr="000D7BAE">
        <w:t xml:space="preserve"> </w:t>
      </w:r>
      <w:r w:rsidR="00616D8C" w:rsidRPr="000D7BAE">
        <w:t>will be</w:t>
      </w:r>
      <w:r w:rsidRPr="000D7BAE">
        <w:t xml:space="preserve"> needed </w:t>
      </w:r>
      <w:r w:rsidR="00B03E9E" w:rsidRPr="000D7BAE">
        <w:t>on the potential uses of the data collected through periodic reports, as well as on strategies for making it widely available in a digestible and visual manner</w:t>
      </w:r>
      <w:r w:rsidR="00B03E9E" w:rsidRPr="000D7BAE" w:rsidDel="00B03E9E">
        <w:t xml:space="preserve"> </w:t>
      </w:r>
      <w:r w:rsidR="00B03E9E" w:rsidRPr="000D7BAE">
        <w:t xml:space="preserve">The </w:t>
      </w:r>
      <w:r w:rsidR="001825E9" w:rsidRPr="000D7BAE">
        <w:t>reflection</w:t>
      </w:r>
      <w:r w:rsidR="00B03E9E" w:rsidRPr="000D7BAE">
        <w:t xml:space="preserve"> year in the </w:t>
      </w:r>
      <w:proofErr w:type="gramStart"/>
      <w:r w:rsidR="00B03E9E" w:rsidRPr="000D7BAE">
        <w:t>six year</w:t>
      </w:r>
      <w:proofErr w:type="gramEnd"/>
      <w:r w:rsidR="00B03E9E" w:rsidRPr="000D7BAE">
        <w:t xml:space="preserve"> cycle (202</w:t>
      </w:r>
      <w:r w:rsidR="001825E9" w:rsidRPr="000D7BAE">
        <w:t>6</w:t>
      </w:r>
      <w:r w:rsidR="00B03E9E" w:rsidRPr="000D7BAE">
        <w:t>), will be devoted to producing a global synapsis. This also connect</w:t>
      </w:r>
      <w:r w:rsidR="001825E9" w:rsidRPr="000D7BAE">
        <w:t>s</w:t>
      </w:r>
      <w:r w:rsidR="00B03E9E" w:rsidRPr="000D7BAE">
        <w:t xml:space="preserve"> </w:t>
      </w:r>
      <w:r w:rsidR="00CC49DA" w:rsidRPr="000D7BAE">
        <w:t xml:space="preserve">to the recently held </w:t>
      </w:r>
      <w:r w:rsidR="00FA309D" w:rsidRPr="000D7BAE">
        <w:t xml:space="preserve">UNESCO World Conference on Cultural Policies and Sustainable Development </w:t>
      </w:r>
      <w:r w:rsidR="00CC49DA" w:rsidRPr="000D7BAE">
        <w:t xml:space="preserve">meeting </w:t>
      </w:r>
      <w:r w:rsidR="001825E9" w:rsidRPr="000D7BAE">
        <w:t xml:space="preserve">(Mondiacult meeting) </w:t>
      </w:r>
      <w:r w:rsidR="00FA309D" w:rsidRPr="000D7BAE">
        <w:t xml:space="preserve">as the </w:t>
      </w:r>
      <w:hyperlink r:id="rId50" w:history="1">
        <w:r w:rsidR="00FA309D" w:rsidRPr="000D7BAE">
          <w:rPr>
            <w:rStyle w:val="Hyperlink"/>
            <w:rFonts w:cs="Arial"/>
          </w:rPr>
          <w:t>Final Declaration</w:t>
        </w:r>
      </w:hyperlink>
      <w:r w:rsidR="00FA309D" w:rsidRPr="000D7BAE">
        <w:t xml:space="preserve"> </w:t>
      </w:r>
      <w:r w:rsidR="00CC49DA" w:rsidRPr="000D7BAE">
        <w:t>call</w:t>
      </w:r>
      <w:r w:rsidR="00FA309D" w:rsidRPr="000D7BAE">
        <w:t>s</w:t>
      </w:r>
      <w:r w:rsidR="00CC49DA" w:rsidRPr="000D7BAE">
        <w:t xml:space="preserve"> upon UNESCO to produce a comprehensive Global Report on Cultural Policies on a quadrennial basis, building on </w:t>
      </w:r>
      <w:r w:rsidR="00616D8C" w:rsidRPr="000D7BAE">
        <w:t xml:space="preserve">the </w:t>
      </w:r>
      <w:r w:rsidR="00CC49DA" w:rsidRPr="000D7BAE">
        <w:t xml:space="preserve">information, data and existing indicators provided by its Member States notably in the framework of the periodic reports of the UNESCO’s complete set of normative instruments in the field of culture. It </w:t>
      </w:r>
      <w:r w:rsidR="00B03E9E" w:rsidRPr="000D7BAE">
        <w:t xml:space="preserve">will </w:t>
      </w:r>
      <w:r w:rsidR="00CC49DA" w:rsidRPr="000D7BAE">
        <w:t xml:space="preserve">be important </w:t>
      </w:r>
      <w:r w:rsidR="00B03E9E" w:rsidRPr="000D7BAE">
        <w:t xml:space="preserve">therefore, as the Convention finalizes its first cycle of reformed periodic reporting </w:t>
      </w:r>
      <w:r w:rsidR="00CC49DA" w:rsidRPr="000D7BAE">
        <w:t xml:space="preserve">to start exploring how best to </w:t>
      </w:r>
      <w:r w:rsidR="00B03E9E" w:rsidRPr="000D7BAE">
        <w:t xml:space="preserve">adjust the process so that the information it produces may also effectively </w:t>
      </w:r>
      <w:r w:rsidR="00CC49DA" w:rsidRPr="000D7BAE">
        <w:t>contribute to this initiative</w:t>
      </w:r>
      <w:r w:rsidR="00B03E9E" w:rsidRPr="000D7BAE">
        <w:t>.</w:t>
      </w:r>
    </w:p>
    <w:p w14:paraId="7DBCD295" w14:textId="568A2510" w:rsidR="002D470A" w:rsidRPr="000D7BAE" w:rsidRDefault="00B03E9E" w:rsidP="00370292">
      <w:pPr>
        <w:pStyle w:val="GAPara"/>
        <w:numPr>
          <w:ilvl w:val="0"/>
          <w:numId w:val="6"/>
        </w:numPr>
        <w:ind w:left="567" w:hanging="567"/>
        <w:jc w:val="both"/>
      </w:pPr>
      <w:r w:rsidRPr="000D7BAE">
        <w:t xml:space="preserve">The thematic windows to highlight and strengthen the contribution of living heritage to Sustainable Development </w:t>
      </w:r>
      <w:r w:rsidRPr="00A55695">
        <w:t xml:space="preserve">will no doubt continue to gain importance </w:t>
      </w:r>
      <w:r w:rsidRPr="00E961E4">
        <w:t>(</w:t>
      </w:r>
      <w:r w:rsidR="00A55695" w:rsidRPr="00E961E4">
        <w:t>document</w:t>
      </w:r>
      <w:r w:rsidR="00A55695" w:rsidRPr="00A55695">
        <w:t> </w:t>
      </w:r>
      <w:hyperlink r:id="rId51" w:history="1">
        <w:r w:rsidR="001825E9" w:rsidRPr="00A55695">
          <w:rPr>
            <w:rStyle w:val="Hyperlink"/>
            <w:rFonts w:cs="Arial"/>
          </w:rPr>
          <w:t>LHE/22/17.COM 13</w:t>
        </w:r>
      </w:hyperlink>
      <w:r w:rsidRPr="00A55695">
        <w:t>). In this respect</w:t>
      </w:r>
      <w:r w:rsidR="002D470A" w:rsidRPr="00A55695">
        <w:t xml:space="preserve">, the Living Heritage and Education Programme is </w:t>
      </w:r>
      <w:r w:rsidRPr="00A55695">
        <w:t>building its</w:t>
      </w:r>
      <w:r w:rsidR="002D470A" w:rsidRPr="00A55695">
        <w:t xml:space="preserve"> momentum </w:t>
      </w:r>
      <w:r w:rsidRPr="00A55695">
        <w:t>through</w:t>
      </w:r>
      <w:r w:rsidR="002D470A" w:rsidRPr="00A55695">
        <w:t xml:space="preserve"> intensified</w:t>
      </w:r>
      <w:r w:rsidR="002D470A" w:rsidRPr="000D7BAE">
        <w:t xml:space="preserve"> intersectoral collaboration for the development of a </w:t>
      </w:r>
      <w:hyperlink r:id="rId52" w:history="1">
        <w:r w:rsidR="002D470A" w:rsidRPr="000D7BAE">
          <w:rPr>
            <w:rStyle w:val="Hyperlink"/>
          </w:rPr>
          <w:t>UNESCO framework on culture and arts education</w:t>
        </w:r>
      </w:hyperlink>
      <w:r w:rsidR="002D470A" w:rsidRPr="000D7BAE">
        <w:t>. The work on the framework was endorsed during the recent Executive Board session (</w:t>
      </w:r>
      <w:r w:rsidR="00A55695" w:rsidRPr="00E961E4">
        <w:t xml:space="preserve">Draft decision </w:t>
      </w:r>
      <w:hyperlink r:id="rId53" w:history="1">
        <w:r w:rsidR="00A55695" w:rsidRPr="00A55695">
          <w:rPr>
            <w:rStyle w:val="Hyperlink"/>
          </w:rPr>
          <w:t>215EX/5.I.D</w:t>
        </w:r>
      </w:hyperlink>
      <w:r w:rsidR="002D470A" w:rsidRPr="000D7BAE">
        <w:t xml:space="preserve">) </w:t>
      </w:r>
      <w:r w:rsidR="005E2C86" w:rsidRPr="000D7BAE">
        <w:t xml:space="preserve">and was also </w:t>
      </w:r>
      <w:r w:rsidR="002D470A" w:rsidRPr="000D7BAE">
        <w:t xml:space="preserve">highlighted in the </w:t>
      </w:r>
      <w:hyperlink r:id="rId54" w:history="1">
        <w:r w:rsidR="002D470A" w:rsidRPr="000D7BAE">
          <w:rPr>
            <w:rStyle w:val="Hyperlink"/>
            <w:rFonts w:cs="Arial"/>
          </w:rPr>
          <w:t>Final Declaration</w:t>
        </w:r>
      </w:hyperlink>
      <w:r w:rsidR="002D470A" w:rsidRPr="000D7BAE">
        <w:t xml:space="preserve"> of the </w:t>
      </w:r>
      <w:r w:rsidR="00FA309D" w:rsidRPr="000D7BAE">
        <w:t>Mondiacult</w:t>
      </w:r>
      <w:r w:rsidR="00927D0A" w:rsidRPr="000D7BAE">
        <w:t xml:space="preserve"> meeting</w:t>
      </w:r>
      <w:r w:rsidR="002D470A" w:rsidRPr="000D7BAE">
        <w:t xml:space="preserve">. Together with the ongoing discussions on the contribution of living heritage for educational processes ahead of the adoption of the </w:t>
      </w:r>
      <w:r w:rsidR="00A55695" w:rsidRPr="00E961E4">
        <w:t>revised ‘</w:t>
      </w:r>
      <w:hyperlink r:id="rId55" w:history="1">
        <w:r w:rsidR="00A55695" w:rsidRPr="00A55695">
          <w:rPr>
            <w:rStyle w:val="Hyperlink"/>
          </w:rPr>
          <w:t>1974 Recommendation</w:t>
        </w:r>
      </w:hyperlink>
      <w:r w:rsidR="00A55695" w:rsidRPr="00E961E4">
        <w:t>’</w:t>
      </w:r>
      <w:r w:rsidR="002D470A" w:rsidRPr="000D7BAE">
        <w:t xml:space="preserve"> by the 42nd session of the General Conference in November 2023, these developments provide a promising </w:t>
      </w:r>
      <w:r w:rsidR="005E2C86" w:rsidRPr="000D7BAE">
        <w:t xml:space="preserve">opportunity </w:t>
      </w:r>
      <w:r w:rsidR="00EE31D2" w:rsidRPr="000D7BAE">
        <w:t xml:space="preserve">for </w:t>
      </w:r>
      <w:r w:rsidR="005E2C86" w:rsidRPr="000D7BAE">
        <w:t>upscaling and sharpening the scope of the Living Heritage and Education Programme, as recommended by the IOS evaluation</w:t>
      </w:r>
      <w:r w:rsidR="00CB5726" w:rsidRPr="000D7BAE">
        <w:t xml:space="preserve"> (recommendation 4).</w:t>
      </w:r>
    </w:p>
    <w:p w14:paraId="5D12D3AD" w14:textId="77777777" w:rsidR="00894D92" w:rsidRPr="000D7BAE" w:rsidRDefault="00894D92" w:rsidP="00370292">
      <w:pPr>
        <w:pStyle w:val="GAPara"/>
        <w:jc w:val="center"/>
        <w:rPr>
          <w:rFonts w:asciiTheme="minorBidi" w:hAnsiTheme="minorBidi" w:cstheme="minorBidi"/>
        </w:rPr>
      </w:pPr>
      <w:r w:rsidRPr="000D7BAE">
        <w:rPr>
          <w:rFonts w:asciiTheme="minorBidi" w:hAnsiTheme="minorBidi" w:cstheme="minorBidi"/>
        </w:rPr>
        <w:t>***</w:t>
      </w:r>
    </w:p>
    <w:p w14:paraId="76881176" w14:textId="6E9D72D4" w:rsidR="00894D92" w:rsidRPr="000D7BAE" w:rsidRDefault="00894D92" w:rsidP="00370292">
      <w:pPr>
        <w:pStyle w:val="GAPara"/>
        <w:numPr>
          <w:ilvl w:val="0"/>
          <w:numId w:val="6"/>
        </w:numPr>
        <w:ind w:left="567" w:hanging="567"/>
        <w:jc w:val="both"/>
        <w:rPr>
          <w:rFonts w:asciiTheme="minorBidi" w:hAnsiTheme="minorBidi" w:cstheme="minorBidi"/>
          <w:snapToGrid/>
        </w:rPr>
      </w:pPr>
      <w:r w:rsidRPr="000D7BAE">
        <w:rPr>
          <w:rFonts w:asciiTheme="minorBidi" w:hAnsiTheme="minorBidi" w:cstheme="minorBidi"/>
        </w:rPr>
        <w:t xml:space="preserve">The </w:t>
      </w:r>
      <w:r w:rsidRPr="007265F1">
        <w:t>Committee</w:t>
      </w:r>
      <w:r w:rsidRPr="000D7BAE">
        <w:rPr>
          <w:rFonts w:asciiTheme="minorBidi" w:hAnsiTheme="minorBidi" w:cstheme="minorBidi"/>
        </w:rPr>
        <w:t xml:space="preserve"> may wish to adopt the following decision</w:t>
      </w:r>
      <w:r w:rsidR="008C1775">
        <w:rPr>
          <w:rFonts w:asciiTheme="minorBidi" w:hAnsiTheme="minorBidi" w:cstheme="minorBidi"/>
        </w:rPr>
        <w:t>:</w:t>
      </w:r>
    </w:p>
    <w:p w14:paraId="1E4981B8" w14:textId="77777777" w:rsidR="00CD1205" w:rsidRPr="000D7BAE" w:rsidRDefault="00CD1205" w:rsidP="00CD1205">
      <w:pPr>
        <w:pStyle w:val="GATitleResolution"/>
        <w:rPr>
          <w:rFonts w:asciiTheme="minorBidi" w:hAnsiTheme="minorBidi" w:cstheme="minorBidi"/>
        </w:rPr>
      </w:pPr>
      <w:r w:rsidRPr="000D7BAE">
        <w:rPr>
          <w:rFonts w:asciiTheme="minorBidi" w:hAnsiTheme="minorBidi" w:cstheme="minorBidi"/>
        </w:rPr>
        <w:t>DRAFT DECISION 17.COM 5</w:t>
      </w:r>
    </w:p>
    <w:p w14:paraId="05023515" w14:textId="77777777" w:rsidR="00CD1205" w:rsidRPr="000D7BAE" w:rsidRDefault="00CD1205" w:rsidP="00CD1205">
      <w:pPr>
        <w:pStyle w:val="GAPreambulaResolution"/>
        <w:rPr>
          <w:rFonts w:asciiTheme="minorBidi" w:eastAsia="SimSun" w:hAnsiTheme="minorBidi" w:cstheme="minorBidi"/>
        </w:rPr>
      </w:pPr>
      <w:r w:rsidRPr="000D7BAE">
        <w:rPr>
          <w:rFonts w:asciiTheme="minorBidi" w:hAnsiTheme="minorBidi" w:cstheme="minorBidi"/>
        </w:rPr>
        <w:t>The Committee,</w:t>
      </w:r>
    </w:p>
    <w:p w14:paraId="40BB13D0" w14:textId="5667C951" w:rsidR="00CD1205" w:rsidRPr="000D7BAE" w:rsidRDefault="00CD1205" w:rsidP="009F7807">
      <w:pPr>
        <w:pStyle w:val="GAParaResolution"/>
        <w:numPr>
          <w:ilvl w:val="0"/>
          <w:numId w:val="20"/>
        </w:numPr>
        <w:ind w:left="1134" w:hanging="567"/>
        <w:rPr>
          <w:rFonts w:asciiTheme="minorBidi" w:hAnsiTheme="minorBidi" w:cstheme="minorBidi"/>
        </w:rPr>
      </w:pPr>
      <w:r w:rsidRPr="000D7BAE">
        <w:rPr>
          <w:rFonts w:asciiTheme="minorBidi" w:hAnsiTheme="minorBidi" w:cstheme="minorBidi"/>
        </w:rPr>
        <w:t>Having examined</w:t>
      </w:r>
      <w:r w:rsidRPr="000D7BAE">
        <w:rPr>
          <w:rFonts w:asciiTheme="minorBidi" w:hAnsiTheme="minorBidi" w:cstheme="minorBidi"/>
          <w:u w:val="none"/>
        </w:rPr>
        <w:t xml:space="preserve"> document LHE/22/17.COM/5 and its annex</w:t>
      </w:r>
      <w:r w:rsidR="00D215FC" w:rsidRPr="000D7BAE">
        <w:rPr>
          <w:rFonts w:asciiTheme="minorBidi" w:hAnsiTheme="minorBidi" w:cstheme="minorBidi"/>
          <w:u w:val="none"/>
        </w:rPr>
        <w:t>,</w:t>
      </w:r>
    </w:p>
    <w:p w14:paraId="653CFA43" w14:textId="02532FD5" w:rsidR="00892269" w:rsidRPr="000D7BAE" w:rsidRDefault="00892269" w:rsidP="009F7807">
      <w:pPr>
        <w:pStyle w:val="GAParaResolution"/>
        <w:numPr>
          <w:ilvl w:val="0"/>
          <w:numId w:val="20"/>
        </w:numPr>
        <w:ind w:left="1134" w:hanging="567"/>
        <w:rPr>
          <w:rFonts w:asciiTheme="minorBidi" w:hAnsiTheme="minorBidi" w:cstheme="minorBidi"/>
          <w:u w:val="none"/>
        </w:rPr>
      </w:pPr>
      <w:r w:rsidRPr="000D7BAE">
        <w:rPr>
          <w:rFonts w:asciiTheme="minorBidi" w:hAnsiTheme="minorBidi" w:cstheme="minorBidi"/>
        </w:rPr>
        <w:t>Expresses its full satisfaction</w:t>
      </w:r>
      <w:r w:rsidRPr="000D7BAE">
        <w:rPr>
          <w:rFonts w:asciiTheme="minorBidi" w:hAnsiTheme="minorBidi" w:cstheme="minorBidi"/>
          <w:u w:val="none"/>
        </w:rPr>
        <w:t xml:space="preserve"> </w:t>
      </w:r>
      <w:r w:rsidR="00616D8C" w:rsidRPr="000D7BAE">
        <w:rPr>
          <w:rFonts w:asciiTheme="minorBidi" w:hAnsiTheme="minorBidi" w:cstheme="minorBidi"/>
          <w:u w:val="none"/>
        </w:rPr>
        <w:t xml:space="preserve">with </w:t>
      </w:r>
      <w:r w:rsidRPr="000D7BAE">
        <w:rPr>
          <w:rFonts w:asciiTheme="minorBidi" w:hAnsiTheme="minorBidi" w:cstheme="minorBidi"/>
          <w:u w:val="none"/>
        </w:rPr>
        <w:t>the completion of the global reflection on the listing mechanisms</w:t>
      </w:r>
      <w:r w:rsidR="00616D8C" w:rsidRPr="000D7BAE">
        <w:rPr>
          <w:rFonts w:asciiTheme="minorBidi" w:hAnsiTheme="minorBidi" w:cstheme="minorBidi"/>
          <w:u w:val="none"/>
        </w:rPr>
        <w:t>, which has generated</w:t>
      </w:r>
      <w:r w:rsidRPr="000D7BAE">
        <w:rPr>
          <w:rFonts w:asciiTheme="minorBidi" w:hAnsiTheme="minorBidi" w:cstheme="minorBidi"/>
          <w:u w:val="none"/>
        </w:rPr>
        <w:t xml:space="preserve"> impactful results that are important for the credibility of the Convention and the operationalization of its listing mechanisms and </w:t>
      </w:r>
      <w:r w:rsidRPr="000D7BAE">
        <w:rPr>
          <w:rFonts w:asciiTheme="minorBidi" w:hAnsiTheme="minorBidi" w:cstheme="minorBidi"/>
        </w:rPr>
        <w:t>commends</w:t>
      </w:r>
      <w:r w:rsidRPr="000D7BAE">
        <w:rPr>
          <w:rFonts w:asciiTheme="minorBidi" w:hAnsiTheme="minorBidi" w:cstheme="minorBidi"/>
          <w:u w:val="none"/>
        </w:rPr>
        <w:t xml:space="preserve"> the Secretariat for having </w:t>
      </w:r>
      <w:r w:rsidR="00616D8C" w:rsidRPr="000D7BAE">
        <w:rPr>
          <w:rFonts w:asciiTheme="minorBidi" w:hAnsiTheme="minorBidi" w:cstheme="minorBidi"/>
          <w:u w:val="none"/>
        </w:rPr>
        <w:t xml:space="preserve">supported </w:t>
      </w:r>
      <w:r w:rsidRPr="000D7BAE">
        <w:rPr>
          <w:rFonts w:asciiTheme="minorBidi" w:hAnsiTheme="minorBidi" w:cstheme="minorBidi"/>
          <w:u w:val="none"/>
        </w:rPr>
        <w:t>the process throughout;</w:t>
      </w:r>
    </w:p>
    <w:p w14:paraId="18999C58" w14:textId="77777777" w:rsidR="004E4C7D" w:rsidRPr="000D7BAE" w:rsidRDefault="004E4C7D" w:rsidP="009F7807">
      <w:pPr>
        <w:pStyle w:val="GAParaResolution"/>
        <w:numPr>
          <w:ilvl w:val="0"/>
          <w:numId w:val="20"/>
        </w:numPr>
        <w:ind w:left="1134" w:hanging="567"/>
        <w:rPr>
          <w:rFonts w:asciiTheme="minorBidi" w:hAnsiTheme="minorBidi" w:cstheme="minorBidi"/>
          <w:u w:val="none"/>
        </w:rPr>
      </w:pPr>
      <w:r w:rsidRPr="000D7BAE">
        <w:rPr>
          <w:rFonts w:asciiTheme="minorBidi" w:hAnsiTheme="minorBidi" w:cstheme="minorBidi"/>
        </w:rPr>
        <w:lastRenderedPageBreak/>
        <w:t>Notes with satisfaction</w:t>
      </w:r>
      <w:r w:rsidRPr="000D7BAE">
        <w:rPr>
          <w:rFonts w:asciiTheme="minorBidi" w:hAnsiTheme="minorBidi" w:cstheme="minorBidi"/>
          <w:u w:val="none"/>
        </w:rPr>
        <w:t xml:space="preserve"> the effectiveness of the capacity-building approach developed by the Secretariat for the reformed periodic reporting mechanism, confirmed by the marked improvement in the submission rates of reports from Latin America and the Caribbean and Europe; and </w:t>
      </w:r>
      <w:r w:rsidRPr="000D7BAE">
        <w:rPr>
          <w:rFonts w:asciiTheme="minorBidi" w:hAnsiTheme="minorBidi" w:cstheme="minorBidi"/>
        </w:rPr>
        <w:t>invites</w:t>
      </w:r>
      <w:r w:rsidRPr="000D7BAE">
        <w:rPr>
          <w:rFonts w:asciiTheme="minorBidi" w:hAnsiTheme="minorBidi" w:cstheme="minorBidi"/>
          <w:u w:val="none"/>
        </w:rPr>
        <w:t xml:space="preserve"> States Parties to support financially the</w:t>
      </w:r>
      <w:r w:rsidRPr="000D7BAE">
        <w:rPr>
          <w:u w:val="none"/>
        </w:rPr>
        <w:t xml:space="preserve"> roll-out of the capacity-building for the regional cycle of periodic reporting in Africa;</w:t>
      </w:r>
    </w:p>
    <w:p w14:paraId="79708518" w14:textId="6655E1B1" w:rsidR="00CD1205" w:rsidRPr="000D7BAE" w:rsidRDefault="008352B2" w:rsidP="009F7807">
      <w:pPr>
        <w:pStyle w:val="GAParaResolution"/>
        <w:numPr>
          <w:ilvl w:val="0"/>
          <w:numId w:val="20"/>
        </w:numPr>
        <w:ind w:left="1134" w:hanging="567"/>
        <w:rPr>
          <w:rFonts w:asciiTheme="minorBidi" w:hAnsiTheme="minorBidi" w:cstheme="minorBidi"/>
          <w:u w:val="none"/>
        </w:rPr>
      </w:pPr>
      <w:r w:rsidRPr="000D7BAE">
        <w:rPr>
          <w:rFonts w:asciiTheme="minorBidi" w:hAnsiTheme="minorBidi" w:cstheme="minorBidi"/>
        </w:rPr>
        <w:t>Ta</w:t>
      </w:r>
      <w:r w:rsidR="00CD1205" w:rsidRPr="000D7BAE">
        <w:rPr>
          <w:rFonts w:asciiTheme="minorBidi" w:hAnsiTheme="minorBidi" w:cstheme="minorBidi"/>
        </w:rPr>
        <w:t>kes note</w:t>
      </w:r>
      <w:r w:rsidR="00CD1205" w:rsidRPr="000D7BAE">
        <w:rPr>
          <w:rFonts w:asciiTheme="minorBidi" w:hAnsiTheme="minorBidi" w:cstheme="minorBidi"/>
          <w:u w:val="none"/>
        </w:rPr>
        <w:t xml:space="preserve"> of the </w:t>
      </w:r>
      <w:r w:rsidR="00E05DC7" w:rsidRPr="000D7BAE">
        <w:rPr>
          <w:rFonts w:asciiTheme="minorBidi" w:hAnsiTheme="minorBidi" w:cstheme="minorBidi"/>
          <w:u w:val="none"/>
        </w:rPr>
        <w:t xml:space="preserve">Secretariat’s </w:t>
      </w:r>
      <w:r w:rsidR="00CD1205" w:rsidRPr="000D7BAE">
        <w:rPr>
          <w:rFonts w:asciiTheme="minorBidi" w:hAnsiTheme="minorBidi" w:cstheme="minorBidi"/>
          <w:u w:val="none"/>
        </w:rPr>
        <w:t xml:space="preserve">increased engagement in initiatives related to the safeguarding of living heritage in emergencies, which confirms the relevance of </w:t>
      </w:r>
      <w:r w:rsidR="00E05DC7" w:rsidRPr="000D7BAE">
        <w:rPr>
          <w:rFonts w:asciiTheme="minorBidi" w:hAnsiTheme="minorBidi" w:cstheme="minorBidi"/>
          <w:u w:val="none"/>
        </w:rPr>
        <w:t xml:space="preserve">the </w:t>
      </w:r>
      <w:r w:rsidR="00CD1205" w:rsidRPr="000D7BAE">
        <w:rPr>
          <w:rFonts w:asciiTheme="minorBidi" w:hAnsiTheme="minorBidi" w:cstheme="minorBidi"/>
          <w:u w:val="none"/>
        </w:rPr>
        <w:t>‘Operational principles and modalities for safeguarding intangible cultural heritage in emergencies’ of the Convention</w:t>
      </w:r>
      <w:r w:rsidR="00E05DC7" w:rsidRPr="000D7BAE">
        <w:rPr>
          <w:rFonts w:asciiTheme="minorBidi" w:hAnsiTheme="minorBidi" w:cstheme="minorBidi"/>
          <w:u w:val="none"/>
        </w:rPr>
        <w:t>,</w:t>
      </w:r>
      <w:r w:rsidR="00CD1205" w:rsidRPr="000D7BAE">
        <w:rPr>
          <w:rFonts w:asciiTheme="minorBidi" w:hAnsiTheme="minorBidi" w:cstheme="minorBidi"/>
          <w:u w:val="none"/>
        </w:rPr>
        <w:t xml:space="preserve"> and </w:t>
      </w:r>
      <w:r w:rsidR="00454BD7" w:rsidRPr="000D7BAE">
        <w:rPr>
          <w:rFonts w:asciiTheme="minorBidi" w:hAnsiTheme="minorBidi" w:cstheme="minorBidi"/>
        </w:rPr>
        <w:t>appreciates</w:t>
      </w:r>
      <w:r w:rsidR="00454BD7" w:rsidRPr="000D7BAE">
        <w:rPr>
          <w:rFonts w:asciiTheme="minorBidi" w:hAnsiTheme="minorBidi" w:cstheme="minorBidi"/>
          <w:u w:val="none"/>
        </w:rPr>
        <w:t xml:space="preserve"> in particular the actions taken by the Secretariat </w:t>
      </w:r>
      <w:r w:rsidR="00E05DC7" w:rsidRPr="000D7BAE">
        <w:rPr>
          <w:rFonts w:asciiTheme="minorBidi" w:hAnsiTheme="minorBidi" w:cstheme="minorBidi"/>
          <w:u w:val="none"/>
        </w:rPr>
        <w:t>to support</w:t>
      </w:r>
      <w:r w:rsidR="00454BD7" w:rsidRPr="000D7BAE">
        <w:rPr>
          <w:rFonts w:asciiTheme="minorBidi" w:hAnsiTheme="minorBidi" w:cstheme="minorBidi"/>
          <w:u w:val="none"/>
        </w:rPr>
        <w:t xml:space="preserve"> the safeguarding of Ukrainian intangible cultural heritage</w:t>
      </w:r>
      <w:r w:rsidR="00CD1205" w:rsidRPr="000D7BAE">
        <w:rPr>
          <w:rFonts w:asciiTheme="minorBidi" w:hAnsiTheme="minorBidi" w:cstheme="minorBidi"/>
          <w:u w:val="none"/>
        </w:rPr>
        <w:t>;</w:t>
      </w:r>
    </w:p>
    <w:p w14:paraId="098AFFF0" w14:textId="03B2091D" w:rsidR="00CD1205" w:rsidRPr="000D7BAE" w:rsidRDefault="008352B2" w:rsidP="009F7807">
      <w:pPr>
        <w:pStyle w:val="GAParaResolution"/>
        <w:numPr>
          <w:ilvl w:val="0"/>
          <w:numId w:val="20"/>
        </w:numPr>
        <w:ind w:left="1134" w:hanging="567"/>
        <w:rPr>
          <w:rFonts w:asciiTheme="minorBidi" w:hAnsiTheme="minorBidi" w:cstheme="minorBidi"/>
          <w:u w:val="none"/>
        </w:rPr>
      </w:pPr>
      <w:r w:rsidRPr="00E961E4">
        <w:rPr>
          <w:rFonts w:asciiTheme="minorBidi" w:hAnsiTheme="minorBidi" w:cstheme="minorBidi"/>
          <w:lang w:eastAsia="zh-CN"/>
        </w:rPr>
        <w:t xml:space="preserve">Further </w:t>
      </w:r>
      <w:r w:rsidR="00CD1205" w:rsidRPr="00E961E4">
        <w:rPr>
          <w:rFonts w:asciiTheme="minorBidi" w:hAnsiTheme="minorBidi" w:cstheme="minorBidi"/>
        </w:rPr>
        <w:t>takes</w:t>
      </w:r>
      <w:r w:rsidR="00CD1205" w:rsidRPr="00E961E4">
        <w:rPr>
          <w:rFonts w:asciiTheme="minorBidi" w:hAnsiTheme="minorBidi" w:cstheme="minorBidi"/>
          <w:lang w:eastAsia="zh-CN"/>
        </w:rPr>
        <w:t xml:space="preserve"> note</w:t>
      </w:r>
      <w:r w:rsidRPr="000D7BAE">
        <w:rPr>
          <w:rFonts w:asciiTheme="minorBidi" w:hAnsiTheme="minorBidi" w:cstheme="minorBidi"/>
          <w:u w:val="none"/>
        </w:rPr>
        <w:t xml:space="preserve"> </w:t>
      </w:r>
      <w:r w:rsidR="00CD1205" w:rsidRPr="000D7BAE">
        <w:rPr>
          <w:rFonts w:asciiTheme="minorBidi" w:hAnsiTheme="minorBidi" w:cstheme="minorBidi"/>
          <w:u w:val="none"/>
        </w:rPr>
        <w:t xml:space="preserve">of the </w:t>
      </w:r>
      <w:r w:rsidR="0000600F" w:rsidRPr="000D7BAE">
        <w:rPr>
          <w:rFonts w:asciiTheme="minorBidi" w:hAnsiTheme="minorBidi" w:cstheme="minorBidi"/>
          <w:u w:val="none"/>
        </w:rPr>
        <w:t xml:space="preserve">progress </w:t>
      </w:r>
      <w:r w:rsidR="00CD1205" w:rsidRPr="000D7BAE">
        <w:rPr>
          <w:rFonts w:asciiTheme="minorBidi" w:hAnsiTheme="minorBidi" w:cstheme="minorBidi"/>
          <w:bCs/>
          <w:u w:val="none"/>
        </w:rPr>
        <w:t xml:space="preserve">made under </w:t>
      </w:r>
      <w:r w:rsidRPr="000D7BAE">
        <w:rPr>
          <w:rFonts w:asciiTheme="minorBidi" w:hAnsiTheme="minorBidi" w:cstheme="minorBidi"/>
          <w:bCs/>
          <w:u w:val="none"/>
        </w:rPr>
        <w:t xml:space="preserve">each of </w:t>
      </w:r>
      <w:r w:rsidR="00CD1205" w:rsidRPr="000D7BAE">
        <w:rPr>
          <w:rFonts w:asciiTheme="minorBidi" w:hAnsiTheme="minorBidi" w:cstheme="minorBidi"/>
          <w:bCs/>
          <w:u w:val="none"/>
        </w:rPr>
        <w:t xml:space="preserve">the </w:t>
      </w:r>
      <w:r w:rsidRPr="000D7BAE">
        <w:rPr>
          <w:rFonts w:asciiTheme="minorBidi" w:hAnsiTheme="minorBidi" w:cstheme="minorBidi"/>
          <w:bCs/>
          <w:u w:val="none"/>
        </w:rPr>
        <w:t xml:space="preserve">three </w:t>
      </w:r>
      <w:r w:rsidR="00CD1205" w:rsidRPr="000D7BAE">
        <w:rPr>
          <w:rFonts w:asciiTheme="minorBidi" w:hAnsiTheme="minorBidi" w:cstheme="minorBidi"/>
          <w:bCs/>
          <w:u w:val="none"/>
        </w:rPr>
        <w:t>thematic initiatives</w:t>
      </w:r>
      <w:r w:rsidRPr="000D7BAE">
        <w:rPr>
          <w:rFonts w:asciiTheme="minorBidi" w:hAnsiTheme="minorBidi" w:cstheme="minorBidi"/>
          <w:bCs/>
          <w:u w:val="none"/>
        </w:rPr>
        <w:t>, including the on-line surveys</w:t>
      </w:r>
      <w:r w:rsidR="00CD1205" w:rsidRPr="000D7BAE">
        <w:rPr>
          <w:rFonts w:asciiTheme="minorBidi" w:hAnsiTheme="minorBidi" w:cstheme="minorBidi"/>
          <w:bCs/>
          <w:u w:val="none"/>
        </w:rPr>
        <w:t xml:space="preserve"> </w:t>
      </w:r>
      <w:r w:rsidR="005C5C9D" w:rsidRPr="000D7BAE">
        <w:rPr>
          <w:rFonts w:asciiTheme="minorBidi" w:hAnsiTheme="minorBidi" w:cstheme="minorBidi"/>
          <w:bCs/>
          <w:u w:val="none"/>
        </w:rPr>
        <w:t>as part of the preparation</w:t>
      </w:r>
      <w:r w:rsidR="00E05DC7" w:rsidRPr="000D7BAE">
        <w:rPr>
          <w:rFonts w:asciiTheme="minorBidi" w:hAnsiTheme="minorBidi" w:cstheme="minorBidi"/>
          <w:bCs/>
          <w:u w:val="none"/>
        </w:rPr>
        <w:t>s</w:t>
      </w:r>
      <w:r w:rsidR="005C5C9D" w:rsidRPr="000D7BAE">
        <w:rPr>
          <w:rFonts w:asciiTheme="minorBidi" w:hAnsiTheme="minorBidi" w:cstheme="minorBidi"/>
          <w:bCs/>
          <w:u w:val="none"/>
        </w:rPr>
        <w:t xml:space="preserve"> </w:t>
      </w:r>
      <w:r w:rsidR="00E05DC7" w:rsidRPr="000D7BAE">
        <w:rPr>
          <w:rFonts w:asciiTheme="minorBidi" w:hAnsiTheme="minorBidi" w:cstheme="minorBidi"/>
          <w:bCs/>
          <w:u w:val="none"/>
        </w:rPr>
        <w:t xml:space="preserve">for </w:t>
      </w:r>
      <w:r w:rsidR="005C5C9D" w:rsidRPr="000D7BAE">
        <w:rPr>
          <w:rFonts w:asciiTheme="minorBidi" w:hAnsiTheme="minorBidi" w:cstheme="minorBidi"/>
          <w:bCs/>
          <w:u w:val="none"/>
        </w:rPr>
        <w:t xml:space="preserve">establishing guidance notes </w:t>
      </w:r>
      <w:r w:rsidR="00CD1205" w:rsidRPr="000D7BAE">
        <w:rPr>
          <w:rFonts w:asciiTheme="minorBidi" w:hAnsiTheme="minorBidi" w:cstheme="minorBidi"/>
          <w:bCs/>
          <w:u w:val="none"/>
        </w:rPr>
        <w:t xml:space="preserve">and </w:t>
      </w:r>
      <w:r w:rsidR="00CD1205" w:rsidRPr="000D7BAE">
        <w:rPr>
          <w:rFonts w:asciiTheme="minorBidi" w:hAnsiTheme="minorBidi" w:cstheme="minorBidi"/>
        </w:rPr>
        <w:t>requests</w:t>
      </w:r>
      <w:r w:rsidR="00CD1205" w:rsidRPr="000D7BAE">
        <w:rPr>
          <w:rFonts w:asciiTheme="minorBidi" w:hAnsiTheme="minorBidi" w:cstheme="minorBidi"/>
          <w:u w:val="none"/>
        </w:rPr>
        <w:t xml:space="preserve"> </w:t>
      </w:r>
      <w:r w:rsidR="00E05DC7" w:rsidRPr="000D7BAE">
        <w:rPr>
          <w:rFonts w:asciiTheme="minorBidi" w:hAnsiTheme="minorBidi" w:cstheme="minorBidi"/>
          <w:u w:val="none"/>
        </w:rPr>
        <w:t xml:space="preserve">that </w:t>
      </w:r>
      <w:r w:rsidR="00CD1205" w:rsidRPr="000D7BAE">
        <w:rPr>
          <w:rFonts w:asciiTheme="minorBidi" w:hAnsiTheme="minorBidi" w:cstheme="minorBidi"/>
          <w:u w:val="none"/>
        </w:rPr>
        <w:t xml:space="preserve">the Secretariat report </w:t>
      </w:r>
      <w:r w:rsidR="00E05DC7" w:rsidRPr="000D7BAE">
        <w:rPr>
          <w:rFonts w:asciiTheme="minorBidi" w:hAnsiTheme="minorBidi" w:cstheme="minorBidi"/>
          <w:u w:val="none"/>
        </w:rPr>
        <w:t xml:space="preserve">back </w:t>
      </w:r>
      <w:r w:rsidR="00CD1205" w:rsidRPr="000D7BAE">
        <w:rPr>
          <w:rFonts w:asciiTheme="minorBidi" w:hAnsiTheme="minorBidi" w:cstheme="minorBidi"/>
          <w:u w:val="none"/>
        </w:rPr>
        <w:t>to the Committee at its eighteenth session on the progress achieved;</w:t>
      </w:r>
    </w:p>
    <w:p w14:paraId="348957DB" w14:textId="1CB4C596" w:rsidR="00CD1205" w:rsidRPr="000D7BAE" w:rsidRDefault="005C5C9D" w:rsidP="009F7807">
      <w:pPr>
        <w:pStyle w:val="GAParaResolution"/>
        <w:numPr>
          <w:ilvl w:val="0"/>
          <w:numId w:val="20"/>
        </w:numPr>
        <w:ind w:left="1134" w:hanging="567"/>
        <w:rPr>
          <w:rFonts w:asciiTheme="minorBidi" w:hAnsiTheme="minorBidi" w:cstheme="minorBidi"/>
          <w:u w:val="none"/>
        </w:rPr>
      </w:pPr>
      <w:r w:rsidRPr="009F7807">
        <w:rPr>
          <w:rFonts w:asciiTheme="minorBidi" w:hAnsiTheme="minorBidi" w:cstheme="minorBidi"/>
        </w:rPr>
        <w:t>Acknowledges</w:t>
      </w:r>
      <w:r w:rsidRPr="000D7BAE">
        <w:rPr>
          <w:u w:val="none"/>
        </w:rPr>
        <w:t xml:space="preserve"> </w:t>
      </w:r>
      <w:r w:rsidR="00CD1205" w:rsidRPr="000D7BAE">
        <w:rPr>
          <w:u w:val="none"/>
        </w:rPr>
        <w:t xml:space="preserve">the </w:t>
      </w:r>
      <w:r w:rsidR="003228F1" w:rsidRPr="000D7BAE">
        <w:rPr>
          <w:u w:val="none"/>
        </w:rPr>
        <w:t>reorientation of the global capacity-building programme</w:t>
      </w:r>
      <w:r w:rsidRPr="000D7BAE">
        <w:rPr>
          <w:u w:val="none"/>
        </w:rPr>
        <w:t>, including the</w:t>
      </w:r>
      <w:r w:rsidR="003228F1" w:rsidRPr="000D7BAE">
        <w:rPr>
          <w:u w:val="none"/>
        </w:rPr>
        <w:t xml:space="preserve"> </w:t>
      </w:r>
      <w:r w:rsidR="007A2F66" w:rsidRPr="000D7BAE">
        <w:rPr>
          <w:u w:val="none"/>
        </w:rPr>
        <w:t xml:space="preserve">move towards </w:t>
      </w:r>
      <w:r w:rsidR="003228F1" w:rsidRPr="000D7BAE">
        <w:rPr>
          <w:u w:val="none"/>
        </w:rPr>
        <w:t>a multimodal delivery approach</w:t>
      </w:r>
      <w:r w:rsidR="007A2F66" w:rsidRPr="000D7BAE">
        <w:rPr>
          <w:u w:val="none"/>
        </w:rPr>
        <w:t xml:space="preserve"> (blended, fully online, in-person)</w:t>
      </w:r>
      <w:r w:rsidR="003228F1" w:rsidRPr="000D7BAE">
        <w:rPr>
          <w:u w:val="none"/>
        </w:rPr>
        <w:t xml:space="preserve">, </w:t>
      </w:r>
      <w:r w:rsidRPr="000D7BAE">
        <w:rPr>
          <w:u w:val="none"/>
        </w:rPr>
        <w:t xml:space="preserve">the development of </w:t>
      </w:r>
      <w:r w:rsidR="003228F1" w:rsidRPr="000D7BAE">
        <w:rPr>
          <w:u w:val="none"/>
        </w:rPr>
        <w:t xml:space="preserve">the thematic areas and </w:t>
      </w:r>
      <w:r w:rsidRPr="000D7BAE">
        <w:rPr>
          <w:u w:val="none"/>
        </w:rPr>
        <w:t xml:space="preserve">the expansion of the </w:t>
      </w:r>
      <w:r w:rsidR="003228F1" w:rsidRPr="000D7BAE">
        <w:rPr>
          <w:u w:val="none"/>
        </w:rPr>
        <w:t>global network of facilitators</w:t>
      </w:r>
      <w:r w:rsidRPr="000D7BAE">
        <w:rPr>
          <w:u w:val="none"/>
        </w:rPr>
        <w:t>,</w:t>
      </w:r>
      <w:r w:rsidR="003228F1" w:rsidRPr="000D7BAE">
        <w:rPr>
          <w:u w:val="none"/>
        </w:rPr>
        <w:t xml:space="preserve"> </w:t>
      </w:r>
      <w:r w:rsidR="00CD1205" w:rsidRPr="000D7BAE">
        <w:rPr>
          <w:u w:val="none"/>
        </w:rPr>
        <w:t>and</w:t>
      </w:r>
      <w:r w:rsidR="007A2F66" w:rsidRPr="000D7BAE">
        <w:rPr>
          <w:u w:val="none"/>
        </w:rPr>
        <w:t xml:space="preserve"> </w:t>
      </w:r>
      <w:r w:rsidR="007A2F66" w:rsidRPr="000D7BAE">
        <w:t>appeals</w:t>
      </w:r>
      <w:r w:rsidR="007A2F66" w:rsidRPr="000D7BAE">
        <w:rPr>
          <w:u w:val="none"/>
        </w:rPr>
        <w:t xml:space="preserve"> to States Parties to consider </w:t>
      </w:r>
      <w:r w:rsidR="00CD1205" w:rsidRPr="000D7BAE">
        <w:rPr>
          <w:u w:val="none"/>
        </w:rPr>
        <w:t>host</w:t>
      </w:r>
      <w:r w:rsidR="007A2F66" w:rsidRPr="000D7BAE">
        <w:rPr>
          <w:u w:val="none"/>
        </w:rPr>
        <w:t>ing</w:t>
      </w:r>
      <w:r w:rsidR="00CD1205" w:rsidRPr="000D7BAE">
        <w:rPr>
          <w:u w:val="none"/>
        </w:rPr>
        <w:t xml:space="preserve"> and/or financially support</w:t>
      </w:r>
      <w:r w:rsidR="007A2F66" w:rsidRPr="000D7BAE">
        <w:rPr>
          <w:u w:val="none"/>
        </w:rPr>
        <w:t>ing</w:t>
      </w:r>
      <w:r w:rsidR="00CD1205" w:rsidRPr="000D7BAE">
        <w:rPr>
          <w:u w:val="none"/>
        </w:rPr>
        <w:t xml:space="preserve"> training</w:t>
      </w:r>
      <w:r w:rsidR="007A2F66" w:rsidRPr="000D7BAE">
        <w:rPr>
          <w:u w:val="none"/>
        </w:rPr>
        <w:t xml:space="preserve"> courses</w:t>
      </w:r>
      <w:r w:rsidR="00CD1205" w:rsidRPr="000D7BAE">
        <w:rPr>
          <w:u w:val="none"/>
        </w:rPr>
        <w:t xml:space="preserve"> to </w:t>
      </w:r>
      <w:r w:rsidR="007A2F66" w:rsidRPr="000D7BAE">
        <w:rPr>
          <w:u w:val="none"/>
        </w:rPr>
        <w:t xml:space="preserve">equip the growing number of </w:t>
      </w:r>
      <w:r w:rsidR="00CD1205" w:rsidRPr="000D7BAE">
        <w:rPr>
          <w:u w:val="none"/>
        </w:rPr>
        <w:t>facilitators</w:t>
      </w:r>
      <w:r w:rsidR="007A2F66" w:rsidRPr="000D7BAE">
        <w:rPr>
          <w:u w:val="none"/>
        </w:rPr>
        <w:t xml:space="preserve"> with</w:t>
      </w:r>
      <w:r w:rsidR="00E05DC7" w:rsidRPr="000D7BAE">
        <w:rPr>
          <w:u w:val="none"/>
        </w:rPr>
        <w:t xml:space="preserve"> the</w:t>
      </w:r>
      <w:r w:rsidR="007A2F66" w:rsidRPr="000D7BAE">
        <w:rPr>
          <w:u w:val="none"/>
        </w:rPr>
        <w:t xml:space="preserve"> </w:t>
      </w:r>
      <w:r w:rsidRPr="000D7BAE">
        <w:rPr>
          <w:u w:val="none"/>
        </w:rPr>
        <w:t xml:space="preserve">knowledge and skills required </w:t>
      </w:r>
      <w:r w:rsidR="007A2F66" w:rsidRPr="000D7BAE">
        <w:rPr>
          <w:u w:val="none"/>
        </w:rPr>
        <w:t>to support States Parties</w:t>
      </w:r>
      <w:r w:rsidR="00CD1205" w:rsidRPr="000D7BAE">
        <w:rPr>
          <w:u w:val="none"/>
        </w:rPr>
        <w:t>;</w:t>
      </w:r>
    </w:p>
    <w:p w14:paraId="3FCC8A50" w14:textId="551DAB75" w:rsidR="009D6A55" w:rsidRPr="000D7BAE" w:rsidRDefault="00890F42" w:rsidP="009F7807">
      <w:pPr>
        <w:pStyle w:val="GAParaResolution"/>
        <w:numPr>
          <w:ilvl w:val="0"/>
          <w:numId w:val="20"/>
        </w:numPr>
        <w:ind w:left="1134" w:hanging="567"/>
        <w:rPr>
          <w:u w:val="none"/>
        </w:rPr>
      </w:pPr>
      <w:r w:rsidRPr="000D7BAE">
        <w:t xml:space="preserve">Also </w:t>
      </w:r>
      <w:r w:rsidRPr="009F7807">
        <w:rPr>
          <w:rFonts w:asciiTheme="minorBidi" w:hAnsiTheme="minorBidi" w:cstheme="minorBidi"/>
        </w:rPr>
        <w:t>takes</w:t>
      </w:r>
      <w:r w:rsidRPr="000D7BAE">
        <w:t xml:space="preserve"> n</w:t>
      </w:r>
      <w:r w:rsidR="009D6A55" w:rsidRPr="000D7BAE">
        <w:t>ote</w:t>
      </w:r>
      <w:r w:rsidR="00517A17" w:rsidRPr="000D7BAE">
        <w:rPr>
          <w:u w:val="none"/>
        </w:rPr>
        <w:t xml:space="preserve"> </w:t>
      </w:r>
      <w:r w:rsidR="00102D03" w:rsidRPr="000D7BAE">
        <w:rPr>
          <w:u w:val="none"/>
        </w:rPr>
        <w:t xml:space="preserve">of </w:t>
      </w:r>
      <w:r w:rsidR="007A2F66" w:rsidRPr="000D7BAE">
        <w:rPr>
          <w:u w:val="none"/>
        </w:rPr>
        <w:t xml:space="preserve">the </w:t>
      </w:r>
      <w:r w:rsidR="00102D03" w:rsidRPr="000D7BAE">
        <w:rPr>
          <w:u w:val="none"/>
        </w:rPr>
        <w:t>increasing</w:t>
      </w:r>
      <w:r w:rsidR="007A2F66" w:rsidRPr="000D7BAE">
        <w:rPr>
          <w:u w:val="none"/>
        </w:rPr>
        <w:t xml:space="preserve"> demand for </w:t>
      </w:r>
      <w:r w:rsidR="001E07CE" w:rsidRPr="000D7BAE">
        <w:rPr>
          <w:u w:val="none"/>
        </w:rPr>
        <w:t>projects under the</w:t>
      </w:r>
      <w:r w:rsidR="00C342B0" w:rsidRPr="000D7BAE">
        <w:rPr>
          <w:u w:val="none"/>
        </w:rPr>
        <w:t xml:space="preserve"> first</w:t>
      </w:r>
      <w:r w:rsidR="001E07CE" w:rsidRPr="000D7BAE">
        <w:rPr>
          <w:u w:val="none"/>
        </w:rPr>
        <w:t xml:space="preserve"> funding priority</w:t>
      </w:r>
      <w:r w:rsidR="00E05DC7" w:rsidRPr="000D7BAE">
        <w:rPr>
          <w:u w:val="none"/>
        </w:rPr>
        <w:t>,</w:t>
      </w:r>
      <w:r w:rsidR="001E07CE" w:rsidRPr="000D7BAE">
        <w:rPr>
          <w:u w:val="none"/>
        </w:rPr>
        <w:t xml:space="preserve"> </w:t>
      </w:r>
      <w:r w:rsidR="00C342B0" w:rsidRPr="000D7BAE">
        <w:rPr>
          <w:u w:val="none"/>
        </w:rPr>
        <w:t>‘</w:t>
      </w:r>
      <w:r w:rsidR="001E07CE" w:rsidRPr="000D7BAE">
        <w:rPr>
          <w:u w:val="none"/>
        </w:rPr>
        <w:t>Strengthening capacities to safeguard intangible cultural heritage</w:t>
      </w:r>
      <w:r w:rsidR="00C342B0" w:rsidRPr="000D7BAE">
        <w:rPr>
          <w:u w:val="none"/>
        </w:rPr>
        <w:t>’</w:t>
      </w:r>
      <w:r w:rsidR="00920CB3" w:rsidRPr="000D7BAE">
        <w:rPr>
          <w:u w:val="none"/>
        </w:rPr>
        <w:t>,</w:t>
      </w:r>
      <w:r w:rsidR="001E07CE" w:rsidRPr="000D7BAE">
        <w:rPr>
          <w:u w:val="none"/>
        </w:rPr>
        <w:t xml:space="preserve"> </w:t>
      </w:r>
      <w:r w:rsidR="00C342B0" w:rsidRPr="000D7BAE">
        <w:rPr>
          <w:u w:val="none"/>
        </w:rPr>
        <w:t>which includes</w:t>
      </w:r>
      <w:r w:rsidR="00920CB3" w:rsidRPr="000D7BAE">
        <w:rPr>
          <w:u w:val="none"/>
        </w:rPr>
        <w:t xml:space="preserve"> </w:t>
      </w:r>
      <w:r w:rsidR="00C342B0" w:rsidRPr="000D7BAE">
        <w:rPr>
          <w:u w:val="none"/>
        </w:rPr>
        <w:t>request</w:t>
      </w:r>
      <w:r w:rsidRPr="000D7BAE">
        <w:rPr>
          <w:u w:val="none"/>
        </w:rPr>
        <w:t>s</w:t>
      </w:r>
      <w:r w:rsidR="00C342B0" w:rsidRPr="000D7BAE">
        <w:rPr>
          <w:u w:val="none"/>
        </w:rPr>
        <w:t xml:space="preserve"> to </w:t>
      </w:r>
      <w:r w:rsidR="00920CB3" w:rsidRPr="000D7BAE">
        <w:rPr>
          <w:u w:val="none"/>
        </w:rPr>
        <w:t>strengthen</w:t>
      </w:r>
      <w:r w:rsidR="00C342B0" w:rsidRPr="000D7BAE">
        <w:rPr>
          <w:u w:val="none"/>
        </w:rPr>
        <w:t xml:space="preserve"> capacities in the </w:t>
      </w:r>
      <w:r w:rsidR="001E07CE" w:rsidRPr="000D7BAE">
        <w:rPr>
          <w:u w:val="none"/>
        </w:rPr>
        <w:t>core areas</w:t>
      </w:r>
      <w:r w:rsidR="00C342B0" w:rsidRPr="000D7BAE">
        <w:rPr>
          <w:u w:val="none"/>
        </w:rPr>
        <w:t xml:space="preserve"> of the Convention</w:t>
      </w:r>
      <w:r w:rsidR="001E07CE" w:rsidRPr="000D7BAE">
        <w:rPr>
          <w:u w:val="none"/>
        </w:rPr>
        <w:t xml:space="preserve">, such as the preparation of safeguarding plans, </w:t>
      </w:r>
      <w:r w:rsidR="00517A17" w:rsidRPr="000D7BAE">
        <w:rPr>
          <w:u w:val="none"/>
        </w:rPr>
        <w:t>I</w:t>
      </w:r>
      <w:r w:rsidR="001E07CE" w:rsidRPr="000D7BAE">
        <w:rPr>
          <w:u w:val="none"/>
        </w:rPr>
        <w:t xml:space="preserve">nternational </w:t>
      </w:r>
      <w:r w:rsidR="00517A17" w:rsidRPr="000D7BAE">
        <w:rPr>
          <w:u w:val="none"/>
        </w:rPr>
        <w:t>A</w:t>
      </w:r>
      <w:r w:rsidR="001E07CE" w:rsidRPr="000D7BAE">
        <w:rPr>
          <w:u w:val="none"/>
        </w:rPr>
        <w:t xml:space="preserve">ssistance requests and nomination files, </w:t>
      </w:r>
      <w:r w:rsidR="00102D03" w:rsidRPr="000D7BAE">
        <w:rPr>
          <w:u w:val="none"/>
        </w:rPr>
        <w:t xml:space="preserve">and </w:t>
      </w:r>
      <w:r w:rsidR="001E07CE" w:rsidRPr="000D7BAE">
        <w:t>calls upon</w:t>
      </w:r>
      <w:r w:rsidR="001E07CE" w:rsidRPr="000D7BAE">
        <w:rPr>
          <w:u w:val="none"/>
        </w:rPr>
        <w:t xml:space="preserve"> States Parties </w:t>
      </w:r>
      <w:r w:rsidR="00C342B0" w:rsidRPr="000D7BAE">
        <w:rPr>
          <w:u w:val="none"/>
        </w:rPr>
        <w:t xml:space="preserve">to provide funding support </w:t>
      </w:r>
      <w:r w:rsidR="00920CB3" w:rsidRPr="000D7BAE">
        <w:rPr>
          <w:u w:val="none"/>
        </w:rPr>
        <w:t xml:space="preserve">for </w:t>
      </w:r>
      <w:r w:rsidR="00C342B0" w:rsidRPr="000D7BAE">
        <w:rPr>
          <w:u w:val="none"/>
        </w:rPr>
        <w:t>the design and implementation of multi-year projects</w:t>
      </w:r>
      <w:r w:rsidR="00102D03" w:rsidRPr="000D7BAE">
        <w:rPr>
          <w:u w:val="none"/>
        </w:rPr>
        <w:t xml:space="preserve"> to respond to such requests</w:t>
      </w:r>
      <w:r w:rsidR="00C342B0" w:rsidRPr="000D7BAE">
        <w:rPr>
          <w:u w:val="none"/>
        </w:rPr>
        <w:t>, notably in Africa</w:t>
      </w:r>
      <w:r w:rsidR="009F7807">
        <w:rPr>
          <w:u w:val="none"/>
        </w:rPr>
        <w:t xml:space="preserve"> and </w:t>
      </w:r>
      <w:r w:rsidR="00C342B0" w:rsidRPr="000D7BAE">
        <w:rPr>
          <w:u w:val="none"/>
        </w:rPr>
        <w:t>Small Island and Developing States</w:t>
      </w:r>
      <w:r w:rsidR="009C2919" w:rsidRPr="000D7BAE">
        <w:rPr>
          <w:u w:val="none"/>
        </w:rPr>
        <w:t>;</w:t>
      </w:r>
    </w:p>
    <w:p w14:paraId="13FC32D8" w14:textId="28A7A58E" w:rsidR="00CD1205" w:rsidRPr="000D7BAE" w:rsidRDefault="00CD1205" w:rsidP="009F7807">
      <w:pPr>
        <w:pStyle w:val="GAParaResolution"/>
        <w:numPr>
          <w:ilvl w:val="0"/>
          <w:numId w:val="20"/>
        </w:numPr>
        <w:ind w:left="1134" w:hanging="567"/>
        <w:rPr>
          <w:rFonts w:asciiTheme="minorBidi" w:hAnsiTheme="minorBidi" w:cstheme="minorBidi"/>
          <w:u w:val="none"/>
        </w:rPr>
      </w:pPr>
      <w:r w:rsidRPr="009F7807">
        <w:rPr>
          <w:rFonts w:asciiTheme="minorBidi" w:hAnsiTheme="minorBidi" w:cstheme="minorBidi"/>
        </w:rPr>
        <w:t>Appreciates</w:t>
      </w:r>
      <w:r w:rsidRPr="000D7BAE">
        <w:rPr>
          <w:u w:val="none"/>
        </w:rPr>
        <w:t xml:space="preserve"> the steady progress made in the implementation of the </w:t>
      </w:r>
      <w:r w:rsidR="00C342B0" w:rsidRPr="000D7BAE">
        <w:rPr>
          <w:u w:val="none"/>
        </w:rPr>
        <w:t xml:space="preserve">second </w:t>
      </w:r>
      <w:r w:rsidRPr="000D7BAE">
        <w:rPr>
          <w:u w:val="none"/>
        </w:rPr>
        <w:t>funding priority</w:t>
      </w:r>
      <w:r w:rsidR="00920CB3" w:rsidRPr="000D7BAE">
        <w:rPr>
          <w:u w:val="none"/>
        </w:rPr>
        <w:t>,</w:t>
      </w:r>
      <w:r w:rsidRPr="000D7BAE">
        <w:rPr>
          <w:u w:val="none"/>
        </w:rPr>
        <w:t xml:space="preserve"> ‘</w:t>
      </w:r>
      <w:r w:rsidR="00920CB3" w:rsidRPr="000D7BAE">
        <w:rPr>
          <w:u w:val="none"/>
        </w:rPr>
        <w:t>S</w:t>
      </w:r>
      <w:r w:rsidRPr="000D7BAE">
        <w:rPr>
          <w:u w:val="none"/>
        </w:rPr>
        <w:t>afeguarding and transmission of intangible cultural heritage through formal and non-formal education</w:t>
      </w:r>
      <w:proofErr w:type="gramStart"/>
      <w:r w:rsidRPr="000D7BAE">
        <w:rPr>
          <w:u w:val="none"/>
        </w:rPr>
        <w:t>’</w:t>
      </w:r>
      <w:r w:rsidR="00920CB3" w:rsidRPr="000D7BAE">
        <w:rPr>
          <w:u w:val="none"/>
        </w:rPr>
        <w:t>,</w:t>
      </w:r>
      <w:r w:rsidRPr="000D7BAE">
        <w:rPr>
          <w:u w:val="none"/>
        </w:rPr>
        <w:t xml:space="preserve"> and</w:t>
      </w:r>
      <w:proofErr w:type="gramEnd"/>
      <w:r w:rsidRPr="000D7BAE">
        <w:rPr>
          <w:u w:val="none"/>
        </w:rPr>
        <w:t xml:space="preserve"> </w:t>
      </w:r>
      <w:r w:rsidRPr="000D7BAE">
        <w:t>e</w:t>
      </w:r>
      <w:r w:rsidRPr="000D7BAE">
        <w:rPr>
          <w:rFonts w:asciiTheme="minorBidi" w:hAnsiTheme="minorBidi" w:cstheme="minorBidi"/>
        </w:rPr>
        <w:t>ncourages</w:t>
      </w:r>
      <w:r w:rsidRPr="000D7BAE">
        <w:rPr>
          <w:rFonts w:asciiTheme="minorBidi" w:hAnsiTheme="minorBidi" w:cstheme="minorBidi"/>
          <w:u w:val="none"/>
        </w:rPr>
        <w:t xml:space="preserve"> States Parties to provide support </w:t>
      </w:r>
      <w:r w:rsidR="00920CB3" w:rsidRPr="000D7BAE">
        <w:rPr>
          <w:rFonts w:asciiTheme="minorBidi" w:hAnsiTheme="minorBidi" w:cstheme="minorBidi"/>
          <w:u w:val="none"/>
        </w:rPr>
        <w:t>for</w:t>
      </w:r>
      <w:r w:rsidRPr="000D7BAE">
        <w:rPr>
          <w:rFonts w:asciiTheme="minorBidi" w:hAnsiTheme="minorBidi" w:cstheme="minorBidi"/>
          <w:u w:val="none"/>
        </w:rPr>
        <w:t xml:space="preserve"> intersectoral collaboration with the education sector with a view to anchor</w:t>
      </w:r>
      <w:r w:rsidR="00920CB3" w:rsidRPr="000D7BAE">
        <w:rPr>
          <w:rFonts w:asciiTheme="minorBidi" w:hAnsiTheme="minorBidi" w:cstheme="minorBidi"/>
          <w:u w:val="none"/>
        </w:rPr>
        <w:t>ing</w:t>
      </w:r>
      <w:r w:rsidRPr="000D7BAE">
        <w:rPr>
          <w:rFonts w:asciiTheme="minorBidi" w:hAnsiTheme="minorBidi" w:cstheme="minorBidi"/>
          <w:u w:val="none"/>
        </w:rPr>
        <w:t xml:space="preserve"> the integration of living heritage safeguarding in education policies and systems at </w:t>
      </w:r>
      <w:r w:rsidR="00920CB3" w:rsidRPr="000D7BAE">
        <w:rPr>
          <w:rFonts w:asciiTheme="minorBidi" w:hAnsiTheme="minorBidi" w:cstheme="minorBidi"/>
          <w:u w:val="none"/>
        </w:rPr>
        <w:t xml:space="preserve">the </w:t>
      </w:r>
      <w:r w:rsidRPr="000D7BAE">
        <w:rPr>
          <w:rFonts w:asciiTheme="minorBidi" w:hAnsiTheme="minorBidi" w:cstheme="minorBidi"/>
          <w:u w:val="none"/>
        </w:rPr>
        <w:t>local, national and international level</w:t>
      </w:r>
      <w:r w:rsidR="00920CB3" w:rsidRPr="000D7BAE">
        <w:rPr>
          <w:rFonts w:asciiTheme="minorBidi" w:hAnsiTheme="minorBidi" w:cstheme="minorBidi"/>
          <w:u w:val="none"/>
        </w:rPr>
        <w:t>s.</w:t>
      </w:r>
    </w:p>
    <w:p w14:paraId="2C663521" w14:textId="2E03F115" w:rsidR="00CD1205" w:rsidRPr="000D7BAE" w:rsidRDefault="00CD1205" w:rsidP="007E3864">
      <w:pPr>
        <w:pStyle w:val="GAPara"/>
        <w:jc w:val="both"/>
        <w:rPr>
          <w:rFonts w:asciiTheme="minorBidi" w:hAnsiTheme="minorBidi" w:cstheme="minorBidi"/>
          <w:b/>
          <w:bCs/>
        </w:rPr>
        <w:sectPr w:rsidR="00CD1205" w:rsidRPr="000D7BAE" w:rsidSect="00655736">
          <w:headerReference w:type="even" r:id="rId56"/>
          <w:headerReference w:type="default" r:id="rId57"/>
          <w:headerReference w:type="first" r:id="rId58"/>
          <w:pgSz w:w="11906" w:h="16838" w:code="9"/>
          <w:pgMar w:top="1418" w:right="1134" w:bottom="1134" w:left="1134" w:header="397" w:footer="284" w:gutter="0"/>
          <w:cols w:space="708"/>
          <w:titlePg/>
          <w:docGrid w:linePitch="360"/>
        </w:sectPr>
      </w:pPr>
    </w:p>
    <w:p w14:paraId="19AC5F4A" w14:textId="23EB7589" w:rsidR="00937D53" w:rsidRPr="000D7BAE" w:rsidRDefault="00937D53">
      <w:pPr>
        <w:rPr>
          <w:rFonts w:asciiTheme="minorBidi" w:eastAsia="SimSun" w:hAnsiTheme="minorBidi" w:cstheme="minorBidi"/>
          <w:sz w:val="22"/>
          <w:szCs w:val="22"/>
          <w:u w:val="single"/>
          <w:lang w:val="en-GB"/>
        </w:rPr>
      </w:pPr>
    </w:p>
    <w:p w14:paraId="4C1000B0" w14:textId="32A6B50A" w:rsidR="008717DE" w:rsidRPr="000D7BAE" w:rsidRDefault="008717DE" w:rsidP="008717DE">
      <w:pPr>
        <w:pStyle w:val="COMParaDecision"/>
        <w:numPr>
          <w:ilvl w:val="0"/>
          <w:numId w:val="0"/>
        </w:numPr>
        <w:jc w:val="center"/>
        <w:rPr>
          <w:rFonts w:asciiTheme="minorBidi" w:hAnsiTheme="minorBidi" w:cstheme="minorBidi"/>
          <w:b/>
        </w:rPr>
      </w:pPr>
      <w:r w:rsidRPr="000D7BAE">
        <w:rPr>
          <w:rFonts w:asciiTheme="minorBidi" w:hAnsiTheme="minorBidi" w:cstheme="minorBidi"/>
          <w:b/>
        </w:rPr>
        <w:t>Annex</w:t>
      </w:r>
    </w:p>
    <w:p w14:paraId="1CF745EB" w14:textId="77777777" w:rsidR="008717DE" w:rsidRPr="000D7BAE" w:rsidRDefault="008717DE" w:rsidP="008717DE">
      <w:pPr>
        <w:pStyle w:val="COMParaDecision"/>
        <w:numPr>
          <w:ilvl w:val="0"/>
          <w:numId w:val="0"/>
        </w:numPr>
        <w:spacing w:after="240"/>
        <w:jc w:val="center"/>
        <w:rPr>
          <w:rFonts w:asciiTheme="minorBidi" w:hAnsiTheme="minorBidi" w:cstheme="minorBidi"/>
          <w:b/>
          <w:u w:val="none"/>
        </w:rPr>
      </w:pPr>
      <w:bookmarkStart w:id="5" w:name="_Hlk114585904"/>
      <w:r w:rsidRPr="000D7BAE">
        <w:rPr>
          <w:rFonts w:asciiTheme="minorBidi" w:hAnsiTheme="minorBidi" w:cstheme="minorBidi"/>
          <w:b/>
          <w:u w:val="none"/>
        </w:rPr>
        <w:t>Assessment by performance indicator</w:t>
      </w:r>
    </w:p>
    <w:tbl>
      <w:tblPr>
        <w:tblStyle w:val="TableGrid2"/>
        <w:tblW w:w="14572" w:type="dxa"/>
        <w:tblLook w:val="04A0" w:firstRow="1" w:lastRow="0" w:firstColumn="1" w:lastColumn="0" w:noHBand="0" w:noVBand="1"/>
      </w:tblPr>
      <w:tblGrid>
        <w:gridCol w:w="3789"/>
        <w:gridCol w:w="10783"/>
      </w:tblGrid>
      <w:tr w:rsidR="008717DE" w:rsidRPr="009A072A" w14:paraId="15749557" w14:textId="77777777" w:rsidTr="00265133">
        <w:trPr>
          <w:cantSplit/>
        </w:trPr>
        <w:tc>
          <w:tcPr>
            <w:tcW w:w="1300" w:type="pct"/>
            <w:shd w:val="clear" w:color="auto" w:fill="808080" w:themeFill="background1" w:themeFillShade="80"/>
            <w:vAlign w:val="center"/>
          </w:tcPr>
          <w:bookmarkEnd w:id="5"/>
          <w:p w14:paraId="55420403" w14:textId="579EA17C" w:rsidR="008717DE" w:rsidRPr="000D7BAE" w:rsidRDefault="008717DE" w:rsidP="00265133">
            <w:pPr>
              <w:keepNext/>
              <w:spacing w:before="120" w:after="120"/>
              <w:rPr>
                <w:rFonts w:asciiTheme="minorBidi" w:hAnsiTheme="minorBidi" w:cstheme="minorBidi"/>
                <w:b/>
                <w:bCs/>
                <w:color w:val="FFFFFF" w:themeColor="background1"/>
                <w:sz w:val="22"/>
                <w:szCs w:val="22"/>
                <w:lang w:val="en-GB"/>
              </w:rPr>
            </w:pPr>
            <w:r w:rsidRPr="000D7BAE">
              <w:rPr>
                <w:rFonts w:asciiTheme="minorBidi" w:hAnsiTheme="minorBidi" w:cstheme="minorBidi"/>
                <w:b/>
                <w:bCs/>
                <w:color w:val="FFFFFF" w:themeColor="background1"/>
                <w:sz w:val="22"/>
                <w:szCs w:val="22"/>
                <w:lang w:val="en-GB"/>
              </w:rPr>
              <w:t>4</w:t>
            </w:r>
            <w:r w:rsidR="00BE6193" w:rsidRPr="000D7BAE">
              <w:rPr>
                <w:rFonts w:asciiTheme="minorBidi" w:hAnsiTheme="minorBidi" w:cstheme="minorBidi"/>
                <w:b/>
                <w:bCs/>
                <w:color w:val="FFFFFF" w:themeColor="background1"/>
                <w:sz w:val="22"/>
                <w:szCs w:val="22"/>
                <w:lang w:val="en-GB"/>
              </w:rPr>
              <w:t>1</w:t>
            </w:r>
            <w:r w:rsidRPr="000D7BAE">
              <w:rPr>
                <w:rFonts w:asciiTheme="minorBidi" w:hAnsiTheme="minorBidi" w:cstheme="minorBidi"/>
                <w:b/>
                <w:bCs/>
                <w:color w:val="FFFFFF" w:themeColor="background1"/>
                <w:sz w:val="22"/>
                <w:szCs w:val="22"/>
                <w:lang w:val="en-GB"/>
              </w:rPr>
              <w:t>C/5 Performance Indicator 1</w:t>
            </w:r>
          </w:p>
        </w:tc>
        <w:tc>
          <w:tcPr>
            <w:tcW w:w="3700" w:type="pct"/>
            <w:shd w:val="clear" w:color="auto" w:fill="808080" w:themeFill="background1" w:themeFillShade="80"/>
            <w:vAlign w:val="center"/>
          </w:tcPr>
          <w:p w14:paraId="60A0D768" w14:textId="29E66FF6" w:rsidR="008717DE" w:rsidRPr="000D7BAE" w:rsidRDefault="000412FA" w:rsidP="00265133">
            <w:pPr>
              <w:keepNext/>
              <w:spacing w:before="120" w:after="120"/>
              <w:rPr>
                <w:rFonts w:asciiTheme="minorBidi" w:hAnsiTheme="minorBidi" w:cstheme="minorBidi"/>
                <w:b/>
                <w:bCs/>
                <w:color w:val="FFFFFF" w:themeColor="background1"/>
                <w:sz w:val="22"/>
                <w:szCs w:val="22"/>
                <w:lang w:val="en-GB"/>
              </w:rPr>
            </w:pPr>
            <w:r w:rsidRPr="000D7BAE">
              <w:rPr>
                <w:rFonts w:asciiTheme="minorBidi" w:hAnsiTheme="minorBidi" w:cstheme="minorBidi"/>
                <w:b/>
                <w:bCs/>
                <w:color w:val="FFFFFF" w:themeColor="background1"/>
                <w:sz w:val="22"/>
                <w:szCs w:val="22"/>
                <w:lang w:val="en-GB"/>
              </w:rPr>
              <w:t>Number of Member States with new or revised policies, strategies and programmes to safeguard living heritage, including within sustainable development plans and frameworks, in line with the 2003 Convention for the Safeguarding of the Intangible Cultural Heritage</w:t>
            </w:r>
          </w:p>
        </w:tc>
      </w:tr>
    </w:tbl>
    <w:tbl>
      <w:tblPr>
        <w:tblW w:w="14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772"/>
        <w:gridCol w:w="321"/>
        <w:gridCol w:w="224"/>
        <w:gridCol w:w="10277"/>
      </w:tblGrid>
      <w:tr w:rsidR="006E52F6" w:rsidRPr="000D7BAE" w14:paraId="583E6DD3" w14:textId="77777777" w:rsidTr="00474A2C">
        <w:trPr>
          <w:tblHeader/>
        </w:trPr>
        <w:tc>
          <w:tcPr>
            <w:tcW w:w="679" w:type="pct"/>
            <w:shd w:val="clear" w:color="auto" w:fill="D9D9D9" w:themeFill="background1" w:themeFillShade="D9"/>
            <w:vAlign w:val="center"/>
          </w:tcPr>
          <w:p w14:paraId="59A2ED14" w14:textId="77777777" w:rsidR="006E52F6" w:rsidRPr="000D7BAE" w:rsidRDefault="006E52F6" w:rsidP="00265133">
            <w:pPr>
              <w:spacing w:before="60" w:after="60"/>
              <w:jc w:val="center"/>
              <w:rPr>
                <w:rFonts w:asciiTheme="minorBidi" w:eastAsia="Calibri" w:hAnsiTheme="minorBidi" w:cstheme="minorBidi"/>
                <w:b/>
                <w:sz w:val="22"/>
                <w:szCs w:val="22"/>
                <w:lang w:val="en-GB"/>
              </w:rPr>
            </w:pPr>
            <w:r w:rsidRPr="000D7BAE">
              <w:rPr>
                <w:rFonts w:asciiTheme="minorBidi" w:hAnsiTheme="minorBidi" w:cstheme="minorBidi"/>
                <w:b/>
                <w:bCs/>
                <w:sz w:val="22"/>
                <w:szCs w:val="22"/>
                <w:lang w:val="en-GB"/>
              </w:rPr>
              <w:t>Baselines</w:t>
            </w:r>
          </w:p>
        </w:tc>
        <w:tc>
          <w:tcPr>
            <w:tcW w:w="608" w:type="pct"/>
            <w:shd w:val="clear" w:color="auto" w:fill="D9D9D9" w:themeFill="background1" w:themeFillShade="D9"/>
            <w:vAlign w:val="center"/>
          </w:tcPr>
          <w:p w14:paraId="5A6DF5B3" w14:textId="2763A9B9" w:rsidR="006E52F6" w:rsidRPr="000D7BAE" w:rsidRDefault="006E52F6" w:rsidP="000D527A">
            <w:pPr>
              <w:spacing w:before="60" w:after="60"/>
              <w:jc w:val="center"/>
              <w:rPr>
                <w:rFonts w:asciiTheme="minorBidi" w:eastAsia="Calibri" w:hAnsiTheme="minorBidi" w:cstheme="minorBidi"/>
                <w:b/>
                <w:sz w:val="22"/>
                <w:szCs w:val="22"/>
                <w:lang w:val="en-GB"/>
              </w:rPr>
            </w:pPr>
            <w:r w:rsidRPr="000D7BAE">
              <w:rPr>
                <w:rFonts w:asciiTheme="minorBidi" w:eastAsia="Calibri" w:hAnsiTheme="minorBidi" w:cstheme="minorBidi"/>
                <w:b/>
                <w:sz w:val="22"/>
                <w:szCs w:val="22"/>
                <w:lang w:val="en-GB"/>
              </w:rPr>
              <w:t>Targets 2023</w:t>
            </w:r>
          </w:p>
        </w:tc>
        <w:tc>
          <w:tcPr>
            <w:tcW w:w="3712" w:type="pct"/>
            <w:gridSpan w:val="3"/>
            <w:shd w:val="clear" w:color="auto" w:fill="D9D9D9" w:themeFill="background1" w:themeFillShade="D9"/>
            <w:vAlign w:val="center"/>
          </w:tcPr>
          <w:p w14:paraId="4777C146" w14:textId="2C5DE237" w:rsidR="006E52F6" w:rsidRPr="000D7BAE" w:rsidRDefault="006E52F6" w:rsidP="00265133">
            <w:pPr>
              <w:autoSpaceDE w:val="0"/>
              <w:autoSpaceDN w:val="0"/>
              <w:adjustRightInd w:val="0"/>
              <w:jc w:val="center"/>
              <w:rPr>
                <w:rFonts w:asciiTheme="minorBidi" w:eastAsia="Calibri" w:hAnsiTheme="minorBidi" w:cstheme="minorBidi"/>
                <w:b/>
                <w:color w:val="000000"/>
                <w:sz w:val="22"/>
                <w:szCs w:val="22"/>
                <w:lang w:val="en-GB"/>
              </w:rPr>
            </w:pPr>
            <w:r w:rsidRPr="000D7BAE">
              <w:rPr>
                <w:rFonts w:asciiTheme="minorBidi" w:eastAsia="Calibri" w:hAnsiTheme="minorBidi" w:cstheme="minorBidi"/>
                <w:b/>
                <w:sz w:val="22"/>
                <w:szCs w:val="22"/>
                <w:lang w:val="en-GB"/>
              </w:rPr>
              <w:t>Assessment of progress:</w:t>
            </w:r>
            <w:r w:rsidRPr="000D7BAE">
              <w:rPr>
                <w:rFonts w:asciiTheme="minorBidi" w:eastAsia="Calibri" w:hAnsiTheme="minorBidi" w:cstheme="minorBidi"/>
                <w:b/>
                <w:sz w:val="22"/>
                <w:szCs w:val="22"/>
                <w:lang w:val="en-GB"/>
              </w:rPr>
              <w:br/>
              <w:t>01/01/2022 to 30/06/2022</w:t>
            </w:r>
          </w:p>
        </w:tc>
      </w:tr>
      <w:tr w:rsidR="006E52F6" w:rsidRPr="009A072A" w14:paraId="34A96661" w14:textId="77777777" w:rsidTr="00474A2C">
        <w:trPr>
          <w:trHeight w:val="1498"/>
        </w:trPr>
        <w:tc>
          <w:tcPr>
            <w:tcW w:w="679" w:type="pct"/>
            <w:tcBorders>
              <w:bottom w:val="single" w:sz="4" w:space="0" w:color="auto"/>
            </w:tcBorders>
          </w:tcPr>
          <w:p w14:paraId="146234D3" w14:textId="428706D0" w:rsidR="006E52F6" w:rsidRPr="00E961E4" w:rsidRDefault="006E52F6" w:rsidP="00474A2C">
            <w:pPr>
              <w:spacing w:before="120" w:after="120"/>
              <w:rPr>
                <w:rFonts w:asciiTheme="minorBidi" w:hAnsiTheme="minorBidi" w:cstheme="minorBidi"/>
                <w:sz w:val="22"/>
                <w:szCs w:val="22"/>
                <w:lang w:val="en-GB"/>
              </w:rPr>
            </w:pPr>
            <w:r w:rsidRPr="00E961E4">
              <w:rPr>
                <w:rFonts w:asciiTheme="minorBidi" w:hAnsiTheme="minorBidi" w:cstheme="minorBidi"/>
                <w:sz w:val="22"/>
                <w:szCs w:val="22"/>
                <w:lang w:val="en-GB"/>
              </w:rPr>
              <w:t xml:space="preserve">60, </w:t>
            </w:r>
            <w:r w:rsidR="00AA6039" w:rsidRPr="00E961E4">
              <w:rPr>
                <w:rFonts w:asciiTheme="minorBidi" w:hAnsiTheme="minorBidi" w:cstheme="minorBidi"/>
                <w:sz w:val="22"/>
                <w:szCs w:val="22"/>
                <w:lang w:val="en-GB"/>
              </w:rPr>
              <w:t>including</w:t>
            </w:r>
            <w:r w:rsidRPr="00E961E4">
              <w:rPr>
                <w:rFonts w:asciiTheme="minorBidi" w:hAnsiTheme="minorBidi" w:cstheme="minorBidi"/>
                <w:sz w:val="22"/>
                <w:szCs w:val="22"/>
                <w:lang w:val="en-GB"/>
              </w:rPr>
              <w:t xml:space="preserve"> 20 in Africa and 10 SIDS</w:t>
            </w:r>
          </w:p>
        </w:tc>
        <w:tc>
          <w:tcPr>
            <w:tcW w:w="608" w:type="pct"/>
            <w:tcBorders>
              <w:bottom w:val="single" w:sz="4" w:space="0" w:color="auto"/>
            </w:tcBorders>
            <w:shd w:val="clear" w:color="auto" w:fill="auto"/>
          </w:tcPr>
          <w:p w14:paraId="169135E8" w14:textId="511D2550" w:rsidR="006E52F6" w:rsidRPr="00E961E4" w:rsidRDefault="006E52F6" w:rsidP="00474A2C">
            <w:pPr>
              <w:spacing w:before="120" w:after="120"/>
              <w:ind w:left="-28"/>
              <w:rPr>
                <w:rFonts w:asciiTheme="minorBidi" w:hAnsiTheme="minorBidi" w:cstheme="minorBidi"/>
                <w:sz w:val="22"/>
                <w:szCs w:val="22"/>
                <w:lang w:val="en-GB"/>
              </w:rPr>
            </w:pPr>
            <w:r w:rsidRPr="00E961E4">
              <w:rPr>
                <w:rFonts w:asciiTheme="minorBidi" w:hAnsiTheme="minorBidi" w:cstheme="minorBidi"/>
                <w:sz w:val="22"/>
                <w:szCs w:val="22"/>
                <w:lang w:val="en-GB"/>
              </w:rPr>
              <w:t xml:space="preserve">60, </w:t>
            </w:r>
            <w:r w:rsidR="00AA6039" w:rsidRPr="00E961E4">
              <w:rPr>
                <w:rFonts w:asciiTheme="minorBidi" w:hAnsiTheme="minorBidi" w:cstheme="minorBidi"/>
                <w:sz w:val="22"/>
                <w:szCs w:val="22"/>
                <w:lang w:val="en-GB"/>
              </w:rPr>
              <w:t>including</w:t>
            </w:r>
            <w:r w:rsidRPr="00E961E4">
              <w:rPr>
                <w:rFonts w:asciiTheme="minorBidi" w:hAnsiTheme="minorBidi" w:cstheme="minorBidi"/>
                <w:sz w:val="22"/>
                <w:szCs w:val="22"/>
                <w:lang w:val="en-GB"/>
              </w:rPr>
              <w:t xml:space="preserve"> 20 in Africa and 10 SIDS</w:t>
            </w:r>
          </w:p>
        </w:tc>
        <w:tc>
          <w:tcPr>
            <w:tcW w:w="3712" w:type="pct"/>
            <w:gridSpan w:val="3"/>
            <w:tcBorders>
              <w:bottom w:val="single" w:sz="4" w:space="0" w:color="auto"/>
            </w:tcBorders>
            <w:shd w:val="clear" w:color="auto" w:fill="auto"/>
          </w:tcPr>
          <w:p w14:paraId="3B579915" w14:textId="01C1CE7F" w:rsidR="00312667" w:rsidRPr="000D7BAE" w:rsidRDefault="000436A4" w:rsidP="00312667">
            <w:pPr>
              <w:pStyle w:val="ListParagraph"/>
              <w:numPr>
                <w:ilvl w:val="0"/>
                <w:numId w:val="7"/>
              </w:numPr>
              <w:spacing w:before="120" w:after="120"/>
              <w:ind w:left="425" w:hanging="425"/>
              <w:contextualSpacing w:val="0"/>
              <w:jc w:val="both"/>
              <w:rPr>
                <w:rFonts w:asciiTheme="minorBidi" w:hAnsiTheme="minorBidi" w:cstheme="minorBidi"/>
                <w:sz w:val="22"/>
                <w:szCs w:val="22"/>
                <w:lang w:val="en-GB"/>
              </w:rPr>
            </w:pPr>
            <w:r w:rsidRPr="000D7BAE">
              <w:rPr>
                <w:rFonts w:asciiTheme="minorBidi" w:hAnsiTheme="minorBidi" w:cstheme="minorBidi"/>
                <w:sz w:val="22"/>
                <w:szCs w:val="22"/>
                <w:lang w:val="en-GB"/>
              </w:rPr>
              <w:t>96</w:t>
            </w:r>
            <w:r w:rsidR="00312667" w:rsidRPr="000D7BAE">
              <w:rPr>
                <w:rFonts w:asciiTheme="minorBidi" w:hAnsiTheme="minorBidi" w:cstheme="minorBidi"/>
                <w:sz w:val="22"/>
                <w:szCs w:val="22"/>
                <w:lang w:val="en-GB"/>
              </w:rPr>
              <w:t xml:space="preserve"> Member States benefitted from the capacity building programme (</w:t>
            </w:r>
            <w:r w:rsidR="00AA6039" w:rsidRPr="000D7BAE">
              <w:rPr>
                <w:rFonts w:asciiTheme="minorBidi" w:hAnsiTheme="minorBidi" w:cstheme="minorBidi"/>
                <w:sz w:val="22"/>
                <w:szCs w:val="22"/>
                <w:lang w:val="en-GB"/>
              </w:rPr>
              <w:t>incl</w:t>
            </w:r>
            <w:r w:rsidR="00472BF1" w:rsidRPr="000D7BAE">
              <w:rPr>
                <w:rFonts w:asciiTheme="minorBidi" w:hAnsiTheme="minorBidi" w:cstheme="minorBidi"/>
                <w:sz w:val="22"/>
                <w:szCs w:val="22"/>
                <w:lang w:val="en-GB"/>
              </w:rPr>
              <w:t>ud</w:t>
            </w:r>
            <w:r w:rsidR="00AA6039" w:rsidRPr="000D7BAE">
              <w:rPr>
                <w:rFonts w:asciiTheme="minorBidi" w:hAnsiTheme="minorBidi" w:cstheme="minorBidi"/>
                <w:sz w:val="22"/>
                <w:szCs w:val="22"/>
                <w:lang w:val="en-GB"/>
              </w:rPr>
              <w:t>ing</w:t>
            </w:r>
            <w:r w:rsidRPr="000D7BAE">
              <w:rPr>
                <w:rFonts w:asciiTheme="minorBidi" w:hAnsiTheme="minorBidi" w:cstheme="minorBidi"/>
                <w:sz w:val="22"/>
                <w:szCs w:val="22"/>
                <w:lang w:val="en-GB"/>
              </w:rPr>
              <w:t>16</w:t>
            </w:r>
            <w:r w:rsidR="00B66665" w:rsidRPr="000D7BAE">
              <w:rPr>
                <w:rFonts w:asciiTheme="minorBidi" w:hAnsiTheme="minorBidi" w:cstheme="minorBidi"/>
                <w:sz w:val="22"/>
                <w:szCs w:val="22"/>
                <w:lang w:val="en-GB"/>
              </w:rPr>
              <w:t xml:space="preserve"> in</w:t>
            </w:r>
            <w:r w:rsidR="00312667" w:rsidRPr="000D7BAE">
              <w:rPr>
                <w:rFonts w:asciiTheme="minorBidi" w:hAnsiTheme="minorBidi" w:cstheme="minorBidi"/>
                <w:sz w:val="22"/>
                <w:szCs w:val="22"/>
                <w:lang w:val="en-GB"/>
              </w:rPr>
              <w:t xml:space="preserve"> Africa and </w:t>
            </w:r>
            <w:r w:rsidRPr="000D7BAE">
              <w:rPr>
                <w:rFonts w:asciiTheme="minorBidi" w:hAnsiTheme="minorBidi" w:cstheme="minorBidi"/>
                <w:sz w:val="22"/>
                <w:szCs w:val="22"/>
                <w:lang w:val="en-GB"/>
              </w:rPr>
              <w:t>9</w:t>
            </w:r>
            <w:r w:rsidR="00B66665" w:rsidRPr="000D7BAE">
              <w:rPr>
                <w:rFonts w:asciiTheme="minorBidi" w:hAnsiTheme="minorBidi" w:cstheme="minorBidi"/>
                <w:sz w:val="22"/>
                <w:szCs w:val="22"/>
                <w:lang w:val="en-GB"/>
              </w:rPr>
              <w:t xml:space="preserve"> in</w:t>
            </w:r>
            <w:r w:rsidR="00312667" w:rsidRPr="000D7BAE">
              <w:rPr>
                <w:rFonts w:asciiTheme="minorBidi" w:hAnsiTheme="minorBidi" w:cstheme="minorBidi"/>
                <w:sz w:val="22"/>
                <w:szCs w:val="22"/>
                <w:lang w:val="en-GB"/>
              </w:rPr>
              <w:t xml:space="preserve"> SIDS), </w:t>
            </w:r>
            <w:r w:rsidRPr="000D7BAE">
              <w:rPr>
                <w:rFonts w:asciiTheme="minorBidi" w:hAnsiTheme="minorBidi" w:cstheme="minorBidi"/>
                <w:sz w:val="22"/>
                <w:szCs w:val="22"/>
                <w:lang w:val="en-GB"/>
              </w:rPr>
              <w:t>18</w:t>
            </w:r>
            <w:r w:rsidR="00312667" w:rsidRPr="000D7BAE">
              <w:rPr>
                <w:rFonts w:asciiTheme="minorBidi" w:hAnsiTheme="minorBidi" w:cstheme="minorBidi"/>
                <w:sz w:val="22"/>
                <w:szCs w:val="22"/>
                <w:lang w:val="en-GB"/>
              </w:rPr>
              <w:t xml:space="preserve"> countries </w:t>
            </w:r>
            <w:r w:rsidR="00AA6039" w:rsidRPr="000D7BAE">
              <w:rPr>
                <w:rFonts w:asciiTheme="minorBidi" w:hAnsiTheme="minorBidi" w:cstheme="minorBidi"/>
                <w:sz w:val="22"/>
                <w:szCs w:val="22"/>
                <w:lang w:val="en-GB"/>
              </w:rPr>
              <w:t xml:space="preserve">received support with the </w:t>
            </w:r>
            <w:r w:rsidR="00312667" w:rsidRPr="000D7BAE">
              <w:rPr>
                <w:rFonts w:asciiTheme="minorBidi" w:hAnsiTheme="minorBidi" w:cstheme="minorBidi"/>
                <w:sz w:val="22"/>
                <w:szCs w:val="22"/>
                <w:lang w:val="en-GB"/>
              </w:rPr>
              <w:t>periodic reporting exercise</w:t>
            </w:r>
            <w:r w:rsidRPr="000D7BAE">
              <w:rPr>
                <w:rFonts w:asciiTheme="minorBidi" w:hAnsiTheme="minorBidi" w:cstheme="minorBidi"/>
                <w:sz w:val="22"/>
                <w:szCs w:val="22"/>
                <w:lang w:val="en-GB"/>
              </w:rPr>
              <w:t xml:space="preserve"> in the Arab States</w:t>
            </w:r>
            <w:r w:rsidR="007C0E0F" w:rsidRPr="000D7BAE">
              <w:rPr>
                <w:rFonts w:asciiTheme="minorBidi" w:hAnsiTheme="minorBidi" w:cstheme="minorBidi"/>
                <w:sz w:val="22"/>
                <w:szCs w:val="22"/>
                <w:lang w:val="en-GB"/>
              </w:rPr>
              <w:t>;</w:t>
            </w:r>
          </w:p>
          <w:p w14:paraId="2A989645" w14:textId="37D0E67A" w:rsidR="00312667" w:rsidRPr="000D7BAE" w:rsidRDefault="00312667" w:rsidP="00312667">
            <w:pPr>
              <w:pStyle w:val="ListParagraph"/>
              <w:numPr>
                <w:ilvl w:val="0"/>
                <w:numId w:val="7"/>
              </w:numPr>
              <w:spacing w:before="120" w:after="120"/>
              <w:ind w:left="425" w:hanging="425"/>
              <w:contextualSpacing w:val="0"/>
              <w:jc w:val="both"/>
              <w:rPr>
                <w:rFonts w:asciiTheme="minorBidi" w:hAnsiTheme="minorBidi" w:cstheme="minorBidi"/>
                <w:sz w:val="22"/>
                <w:szCs w:val="22"/>
                <w:lang w:val="en-GB"/>
              </w:rPr>
            </w:pPr>
            <w:r w:rsidRPr="000D7BAE">
              <w:rPr>
                <w:rFonts w:asciiTheme="minorBidi" w:hAnsiTheme="minorBidi" w:cstheme="minorBidi"/>
                <w:sz w:val="22"/>
                <w:szCs w:val="22"/>
                <w:lang w:val="en-GB"/>
              </w:rPr>
              <w:t>One regional training workshop</w:t>
            </w:r>
            <w:r w:rsidRPr="000D7BAE">
              <w:rPr>
                <w:rFonts w:asciiTheme="minorBidi" w:hAnsiTheme="minorBidi" w:cstheme="minorBidi"/>
                <w:sz w:val="22"/>
                <w:szCs w:val="22"/>
                <w:vertAlign w:val="superscript"/>
                <w:lang w:val="en-GB"/>
              </w:rPr>
              <w:footnoteReference w:id="4"/>
            </w:r>
            <w:r w:rsidRPr="000D7BAE">
              <w:rPr>
                <w:rFonts w:asciiTheme="minorBidi" w:hAnsiTheme="minorBidi" w:cstheme="minorBidi"/>
                <w:sz w:val="22"/>
                <w:szCs w:val="22"/>
                <w:vertAlign w:val="superscript"/>
                <w:lang w:val="en-GB"/>
              </w:rPr>
              <w:t xml:space="preserve"> </w:t>
            </w:r>
            <w:r w:rsidRPr="000D7BAE">
              <w:rPr>
                <w:rFonts w:asciiTheme="minorBidi" w:hAnsiTheme="minorBidi" w:cstheme="minorBidi"/>
                <w:sz w:val="22"/>
                <w:szCs w:val="22"/>
                <w:lang w:val="en-GB"/>
              </w:rPr>
              <w:t>organized in cooperation with a category 2 centre, training 21 focal points (&gt;50%</w:t>
            </w:r>
            <w:r w:rsidRPr="00E961E4">
              <w:rPr>
                <w:rFonts w:asciiTheme="minorBidi" w:hAnsiTheme="minorBidi" w:cstheme="minorBidi"/>
                <w:sz w:val="22"/>
                <w:szCs w:val="22"/>
                <w:lang w:val="en-GB"/>
              </w:rPr>
              <w:t xml:space="preserve"> </w:t>
            </w:r>
            <w:r w:rsidRPr="000D7BAE">
              <w:rPr>
                <w:rFonts w:asciiTheme="minorBidi" w:hAnsiTheme="minorBidi" w:cstheme="minorBidi"/>
                <w:sz w:val="22"/>
                <w:szCs w:val="22"/>
                <w:lang w:val="en-GB"/>
              </w:rPr>
              <w:t xml:space="preserve">women) from the Arab States </w:t>
            </w:r>
            <w:r w:rsidRPr="000D7BAE">
              <w:rPr>
                <w:rFonts w:asciiTheme="minorBidi" w:eastAsia="SimSun" w:hAnsiTheme="minorBidi" w:cstheme="minorBidi"/>
                <w:sz w:val="22"/>
                <w:szCs w:val="22"/>
                <w:lang w:val="en-GB"/>
              </w:rPr>
              <w:t>for the roll-out of the reformed periodic reporting mechanism</w:t>
            </w:r>
            <w:r w:rsidR="007C0E0F" w:rsidRPr="000D7BAE">
              <w:rPr>
                <w:rFonts w:asciiTheme="minorBidi" w:hAnsiTheme="minorBidi" w:cstheme="minorBidi"/>
                <w:sz w:val="22"/>
                <w:szCs w:val="22"/>
                <w:lang w:val="en-GB"/>
              </w:rPr>
              <w:t>;</w:t>
            </w:r>
          </w:p>
          <w:p w14:paraId="33709BD9" w14:textId="4194BD04" w:rsidR="00312667" w:rsidRPr="000D7BAE" w:rsidRDefault="00312667" w:rsidP="00312667">
            <w:pPr>
              <w:pStyle w:val="ListParagraph"/>
              <w:numPr>
                <w:ilvl w:val="0"/>
                <w:numId w:val="7"/>
              </w:numPr>
              <w:spacing w:before="120" w:after="120"/>
              <w:ind w:left="425" w:hanging="425"/>
              <w:contextualSpacing w:val="0"/>
              <w:jc w:val="both"/>
              <w:rPr>
                <w:rFonts w:asciiTheme="minorBidi" w:hAnsiTheme="minorBidi" w:cstheme="minorBidi"/>
                <w:sz w:val="22"/>
                <w:szCs w:val="22"/>
                <w:lang w:val="en-GB"/>
              </w:rPr>
            </w:pPr>
            <w:r w:rsidRPr="000D7BAE">
              <w:rPr>
                <w:rFonts w:asciiTheme="minorBidi" w:hAnsiTheme="minorBidi" w:cstheme="minorBidi"/>
                <w:sz w:val="22"/>
                <w:szCs w:val="22"/>
                <w:lang w:val="en-GB"/>
              </w:rPr>
              <w:t xml:space="preserve">One interregional training workshop organized in cooperation with two Field Offices, training </w:t>
            </w:r>
            <w:r w:rsidR="000436A4" w:rsidRPr="000D7BAE">
              <w:rPr>
                <w:rFonts w:asciiTheme="minorBidi" w:hAnsiTheme="minorBidi" w:cstheme="minorBidi"/>
                <w:sz w:val="22"/>
                <w:szCs w:val="22"/>
                <w:lang w:val="en-GB"/>
              </w:rPr>
              <w:t xml:space="preserve">nearly </w:t>
            </w:r>
            <w:r w:rsidR="00425923" w:rsidRPr="000D7BAE">
              <w:rPr>
                <w:rFonts w:asciiTheme="minorBidi" w:hAnsiTheme="minorBidi" w:cstheme="minorBidi"/>
                <w:sz w:val="22"/>
                <w:szCs w:val="22"/>
                <w:lang w:val="en-GB"/>
              </w:rPr>
              <w:t>30</w:t>
            </w:r>
            <w:r w:rsidR="00425923">
              <w:rPr>
                <w:rFonts w:asciiTheme="minorBidi" w:hAnsiTheme="minorBidi" w:cstheme="minorBidi"/>
                <w:sz w:val="22"/>
                <w:szCs w:val="22"/>
                <w:lang w:val="en-GB"/>
              </w:rPr>
              <w:t> </w:t>
            </w:r>
            <w:r w:rsidR="000436A4" w:rsidRPr="000D7BAE">
              <w:rPr>
                <w:rFonts w:asciiTheme="minorBidi" w:hAnsiTheme="minorBidi" w:cstheme="minorBidi"/>
                <w:sz w:val="22"/>
                <w:szCs w:val="22"/>
                <w:lang w:val="en-GB"/>
              </w:rPr>
              <w:t>p</w:t>
            </w:r>
            <w:r w:rsidRPr="000D7BAE">
              <w:rPr>
                <w:rFonts w:asciiTheme="minorBidi" w:hAnsiTheme="minorBidi" w:cstheme="minorBidi"/>
                <w:sz w:val="22"/>
                <w:szCs w:val="22"/>
                <w:lang w:val="en-GB"/>
              </w:rPr>
              <w:t>articipants from 5 SIDS</w:t>
            </w:r>
            <w:r w:rsidRPr="000D7BAE">
              <w:rPr>
                <w:rFonts w:asciiTheme="minorBidi" w:hAnsiTheme="minorBidi" w:cstheme="minorBidi"/>
                <w:sz w:val="22"/>
                <w:szCs w:val="22"/>
                <w:vertAlign w:val="superscript"/>
                <w:lang w:val="en-GB"/>
              </w:rPr>
              <w:footnoteReference w:id="5"/>
            </w:r>
            <w:r w:rsidR="00A54E21" w:rsidRPr="000D7BAE">
              <w:rPr>
                <w:rFonts w:asciiTheme="minorBidi" w:hAnsiTheme="minorBidi" w:cstheme="minorBidi"/>
                <w:sz w:val="22"/>
                <w:szCs w:val="22"/>
                <w:lang w:val="en-GB"/>
              </w:rPr>
              <w:t>;</w:t>
            </w:r>
          </w:p>
          <w:p w14:paraId="332E44F9" w14:textId="6CB50B40" w:rsidR="00312667" w:rsidRPr="000D7BAE" w:rsidRDefault="00E33E43" w:rsidP="00F13825">
            <w:pPr>
              <w:pStyle w:val="ListParagraph"/>
              <w:numPr>
                <w:ilvl w:val="0"/>
                <w:numId w:val="7"/>
              </w:numPr>
              <w:spacing w:before="120" w:after="120"/>
              <w:ind w:left="425" w:hanging="425"/>
              <w:contextualSpacing w:val="0"/>
              <w:jc w:val="both"/>
              <w:rPr>
                <w:rFonts w:asciiTheme="minorBidi" w:hAnsiTheme="minorBidi" w:cstheme="minorBidi"/>
                <w:sz w:val="22"/>
                <w:szCs w:val="22"/>
                <w:lang w:val="en-GB"/>
              </w:rPr>
            </w:pPr>
            <w:r w:rsidRPr="00E961E4">
              <w:rPr>
                <w:rFonts w:asciiTheme="minorBidi" w:hAnsiTheme="minorBidi" w:cstheme="minorBidi"/>
                <w:sz w:val="22"/>
                <w:szCs w:val="22"/>
                <w:lang w:val="en-GB"/>
              </w:rPr>
              <w:t>7</w:t>
            </w:r>
            <w:r w:rsidR="000D50B5" w:rsidRPr="00E961E4">
              <w:rPr>
                <w:rFonts w:asciiTheme="minorBidi" w:hAnsiTheme="minorBidi" w:cstheme="minorBidi"/>
                <w:sz w:val="22"/>
                <w:szCs w:val="22"/>
                <w:lang w:val="en-GB"/>
              </w:rPr>
              <w:t xml:space="preserve"> proposals processed for the establishment or renewal of UNESCO Chairs in the field of intangible cultural heritage</w:t>
            </w:r>
            <w:r w:rsidR="00312667" w:rsidRPr="00E961E4">
              <w:rPr>
                <w:rFonts w:asciiTheme="minorBidi" w:hAnsiTheme="minorBidi" w:cstheme="minorBidi"/>
                <w:sz w:val="22"/>
                <w:szCs w:val="22"/>
                <w:lang w:val="en-GB"/>
              </w:rPr>
              <w:t xml:space="preserve">, including </w:t>
            </w:r>
            <w:r w:rsidR="000D50B5" w:rsidRPr="00E961E4">
              <w:rPr>
                <w:rFonts w:asciiTheme="minorBidi" w:hAnsiTheme="minorBidi" w:cstheme="minorBidi"/>
                <w:sz w:val="22"/>
                <w:szCs w:val="22"/>
                <w:lang w:val="en-GB"/>
              </w:rPr>
              <w:t>the establishment of the first UNITWIN network on ICH (Argentina, Uruguay and Paraguay)</w:t>
            </w:r>
            <w:r w:rsidR="007C0E0F" w:rsidRPr="00E961E4">
              <w:rPr>
                <w:rFonts w:asciiTheme="minorBidi" w:hAnsiTheme="minorBidi" w:cstheme="minorBidi"/>
                <w:sz w:val="22"/>
                <w:szCs w:val="22"/>
                <w:lang w:val="en-GB"/>
              </w:rPr>
              <w:t>;</w:t>
            </w:r>
          </w:p>
          <w:p w14:paraId="11FE5D03" w14:textId="031B8D6C" w:rsidR="0028353C" w:rsidRPr="00E961E4" w:rsidRDefault="0028353C" w:rsidP="0028353C">
            <w:pPr>
              <w:pStyle w:val="ListParagraph"/>
              <w:numPr>
                <w:ilvl w:val="0"/>
                <w:numId w:val="7"/>
              </w:numPr>
              <w:spacing w:before="120" w:after="120"/>
              <w:ind w:left="425" w:hanging="425"/>
              <w:contextualSpacing w:val="0"/>
              <w:jc w:val="both"/>
              <w:rPr>
                <w:rFonts w:asciiTheme="minorBidi" w:hAnsiTheme="minorBidi" w:cstheme="minorBidi"/>
                <w:sz w:val="22"/>
                <w:szCs w:val="22"/>
                <w:lang w:val="en-GB"/>
              </w:rPr>
            </w:pPr>
            <w:r w:rsidRPr="00E961E4">
              <w:rPr>
                <w:rFonts w:asciiTheme="minorBidi" w:hAnsiTheme="minorBidi" w:cstheme="minorBidi"/>
                <w:sz w:val="22"/>
                <w:szCs w:val="22"/>
                <w:lang w:val="en-GB"/>
              </w:rPr>
              <w:t xml:space="preserve">International Assistance from the Intangible Cultural Heritage Fund supported 42 safeguarding activities in 34 States Parties, </w:t>
            </w:r>
            <w:r w:rsidR="00AA6039" w:rsidRPr="00E961E4">
              <w:rPr>
                <w:rFonts w:asciiTheme="minorBidi" w:hAnsiTheme="minorBidi" w:cstheme="minorBidi"/>
                <w:sz w:val="22"/>
                <w:szCs w:val="22"/>
                <w:lang w:val="en-GB"/>
              </w:rPr>
              <w:t>including</w:t>
            </w:r>
            <w:r w:rsidRPr="00E961E4">
              <w:rPr>
                <w:rFonts w:asciiTheme="minorBidi" w:hAnsiTheme="minorBidi" w:cstheme="minorBidi"/>
                <w:sz w:val="22"/>
                <w:szCs w:val="22"/>
                <w:lang w:val="en-GB"/>
              </w:rPr>
              <w:t> 17 in Africa and 9 in SIDS;</w:t>
            </w:r>
          </w:p>
          <w:p w14:paraId="0D273859" w14:textId="1AA17A9B" w:rsidR="00474A2C" w:rsidRPr="000D7BAE" w:rsidRDefault="00474A2C" w:rsidP="00B52C0C">
            <w:pPr>
              <w:pStyle w:val="ListParagraph"/>
              <w:numPr>
                <w:ilvl w:val="0"/>
                <w:numId w:val="7"/>
              </w:numPr>
              <w:spacing w:before="120" w:after="120"/>
              <w:ind w:left="425" w:hanging="425"/>
              <w:contextualSpacing w:val="0"/>
              <w:jc w:val="both"/>
              <w:rPr>
                <w:rFonts w:asciiTheme="minorBidi" w:hAnsiTheme="minorBidi" w:cstheme="minorBidi"/>
                <w:sz w:val="22"/>
                <w:szCs w:val="22"/>
                <w:lang w:val="en-GB"/>
              </w:rPr>
            </w:pPr>
            <w:r w:rsidRPr="000D7BAE">
              <w:rPr>
                <w:rFonts w:asciiTheme="minorBidi" w:hAnsiTheme="minorBidi" w:cstheme="minorBidi"/>
                <w:sz w:val="22"/>
                <w:szCs w:val="22"/>
                <w:lang w:val="en-GB"/>
              </w:rPr>
              <w:t>Regional cycle in the reformed periodic reporting mechanism for Arab States</w:t>
            </w:r>
            <w:r w:rsidR="00B52C0C" w:rsidRPr="000D7BAE">
              <w:rPr>
                <w:rFonts w:asciiTheme="minorBidi" w:hAnsiTheme="minorBidi" w:cstheme="minorBidi"/>
                <w:sz w:val="22"/>
                <w:szCs w:val="22"/>
                <w:lang w:val="en-GB"/>
              </w:rPr>
              <w:t xml:space="preserve"> continued</w:t>
            </w:r>
            <w:r w:rsidRPr="000D7BAE">
              <w:rPr>
                <w:rFonts w:asciiTheme="minorBidi" w:hAnsiTheme="minorBidi" w:cstheme="minorBidi"/>
                <w:sz w:val="22"/>
                <w:szCs w:val="22"/>
                <w:lang w:val="en-GB"/>
              </w:rPr>
              <w:t xml:space="preserve"> with</w:t>
            </w:r>
            <w:r w:rsidR="00AA6039" w:rsidRPr="000D7BAE">
              <w:rPr>
                <w:rFonts w:asciiTheme="minorBidi" w:hAnsiTheme="minorBidi" w:cstheme="minorBidi"/>
                <w:sz w:val="22"/>
                <w:szCs w:val="22"/>
                <w:lang w:val="en-GB"/>
              </w:rPr>
              <w:t xml:space="preserve"> in-person</w:t>
            </w:r>
            <w:r w:rsidRPr="000D7BAE">
              <w:rPr>
                <w:rFonts w:asciiTheme="minorBidi" w:hAnsiTheme="minorBidi" w:cstheme="minorBidi"/>
                <w:sz w:val="22"/>
                <w:szCs w:val="22"/>
                <w:lang w:val="en-GB"/>
              </w:rPr>
              <w:t>, hybrid and online capacity-building activities</w:t>
            </w:r>
            <w:r w:rsidR="00B66665" w:rsidRPr="000D7BAE">
              <w:rPr>
                <w:rFonts w:asciiTheme="minorBidi" w:hAnsiTheme="minorBidi" w:cstheme="minorBidi"/>
                <w:sz w:val="22"/>
                <w:szCs w:val="22"/>
                <w:lang w:val="en-GB"/>
              </w:rPr>
              <w:t>.</w:t>
            </w:r>
          </w:p>
        </w:tc>
      </w:tr>
      <w:tr w:rsidR="008717DE" w:rsidRPr="009A072A" w14:paraId="4C0F76EF" w14:textId="77777777" w:rsidTr="00474A2C">
        <w:trPr>
          <w:trHeight w:val="367"/>
        </w:trPr>
        <w:tc>
          <w:tcPr>
            <w:tcW w:w="679" w:type="pct"/>
            <w:tcBorders>
              <w:left w:val="nil"/>
              <w:bottom w:val="nil"/>
              <w:right w:val="nil"/>
            </w:tcBorders>
          </w:tcPr>
          <w:p w14:paraId="61C96BFB" w14:textId="77777777" w:rsidR="008717DE" w:rsidRPr="000D7BAE" w:rsidRDefault="008717DE" w:rsidP="00265133">
            <w:pPr>
              <w:spacing w:before="120" w:after="120"/>
              <w:rPr>
                <w:rFonts w:asciiTheme="minorBidi" w:hAnsiTheme="minorBidi" w:cstheme="minorBidi"/>
                <w:sz w:val="22"/>
                <w:szCs w:val="22"/>
                <w:lang w:val="en-GB"/>
              </w:rPr>
            </w:pPr>
          </w:p>
        </w:tc>
        <w:tc>
          <w:tcPr>
            <w:tcW w:w="718" w:type="pct"/>
            <w:gridSpan w:val="2"/>
            <w:tcBorders>
              <w:left w:val="nil"/>
              <w:bottom w:val="nil"/>
              <w:right w:val="nil"/>
            </w:tcBorders>
            <w:shd w:val="clear" w:color="auto" w:fill="auto"/>
          </w:tcPr>
          <w:p w14:paraId="074066BC" w14:textId="77777777" w:rsidR="008717DE" w:rsidRPr="000D7BAE" w:rsidRDefault="008717DE" w:rsidP="00265133">
            <w:pPr>
              <w:pStyle w:val="ListParagraph"/>
              <w:spacing w:before="120" w:after="120"/>
              <w:ind w:left="312"/>
              <w:contextualSpacing w:val="0"/>
              <w:rPr>
                <w:rFonts w:asciiTheme="minorBidi" w:hAnsiTheme="minorBidi" w:cstheme="minorBidi"/>
                <w:sz w:val="22"/>
                <w:szCs w:val="22"/>
                <w:lang w:val="en-GB"/>
              </w:rPr>
            </w:pPr>
          </w:p>
        </w:tc>
        <w:tc>
          <w:tcPr>
            <w:tcW w:w="77" w:type="pct"/>
            <w:tcBorders>
              <w:left w:val="nil"/>
              <w:bottom w:val="nil"/>
              <w:right w:val="nil"/>
            </w:tcBorders>
            <w:shd w:val="clear" w:color="auto" w:fill="auto"/>
          </w:tcPr>
          <w:p w14:paraId="4CB1F903" w14:textId="77777777" w:rsidR="008717DE" w:rsidRPr="000D7BAE" w:rsidRDefault="008717DE" w:rsidP="00265133">
            <w:pPr>
              <w:pStyle w:val="ListParagraph"/>
              <w:spacing w:before="120" w:after="120"/>
              <w:ind w:left="312"/>
              <w:contextualSpacing w:val="0"/>
              <w:rPr>
                <w:rFonts w:asciiTheme="minorBidi" w:hAnsiTheme="minorBidi" w:cstheme="minorBidi"/>
                <w:sz w:val="22"/>
                <w:szCs w:val="22"/>
                <w:lang w:val="en-GB"/>
              </w:rPr>
            </w:pPr>
          </w:p>
        </w:tc>
        <w:tc>
          <w:tcPr>
            <w:tcW w:w="3526" w:type="pct"/>
            <w:tcBorders>
              <w:left w:val="nil"/>
              <w:bottom w:val="nil"/>
              <w:right w:val="nil"/>
            </w:tcBorders>
          </w:tcPr>
          <w:p w14:paraId="62AAC333" w14:textId="77777777" w:rsidR="008717DE" w:rsidRPr="000D7BAE" w:rsidRDefault="008717DE" w:rsidP="00265133">
            <w:pPr>
              <w:pStyle w:val="ListParagraph"/>
              <w:spacing w:before="120" w:after="120"/>
              <w:ind w:left="544"/>
              <w:contextualSpacing w:val="0"/>
              <w:rPr>
                <w:rFonts w:asciiTheme="minorBidi" w:hAnsiTheme="minorBidi" w:cstheme="minorBidi"/>
                <w:sz w:val="22"/>
                <w:szCs w:val="22"/>
                <w:lang w:val="en-GB"/>
              </w:rPr>
            </w:pPr>
          </w:p>
        </w:tc>
      </w:tr>
    </w:tbl>
    <w:tbl>
      <w:tblPr>
        <w:tblStyle w:val="TableGrid2"/>
        <w:tblW w:w="14572" w:type="dxa"/>
        <w:tblLook w:val="04A0" w:firstRow="1" w:lastRow="0" w:firstColumn="1" w:lastColumn="0" w:noHBand="0" w:noVBand="1"/>
      </w:tblPr>
      <w:tblGrid>
        <w:gridCol w:w="3789"/>
        <w:gridCol w:w="10783"/>
      </w:tblGrid>
      <w:tr w:rsidR="000412FA" w:rsidRPr="009A072A" w14:paraId="2402579C" w14:textId="77777777" w:rsidTr="00265133">
        <w:trPr>
          <w:cantSplit/>
        </w:trPr>
        <w:tc>
          <w:tcPr>
            <w:tcW w:w="1300" w:type="pct"/>
            <w:shd w:val="clear" w:color="auto" w:fill="808080" w:themeFill="background1" w:themeFillShade="80"/>
            <w:vAlign w:val="center"/>
          </w:tcPr>
          <w:p w14:paraId="0E312602" w14:textId="3E26BB0E" w:rsidR="000412FA" w:rsidRPr="000D7BAE" w:rsidRDefault="000412FA" w:rsidP="00265133">
            <w:pPr>
              <w:keepNext/>
              <w:spacing w:before="120" w:after="120"/>
              <w:rPr>
                <w:rFonts w:asciiTheme="minorBidi" w:hAnsiTheme="minorBidi" w:cstheme="minorBidi"/>
                <w:b/>
                <w:bCs/>
                <w:color w:val="FFFFFF" w:themeColor="background1"/>
                <w:sz w:val="22"/>
                <w:szCs w:val="22"/>
                <w:lang w:val="en-GB"/>
              </w:rPr>
            </w:pPr>
            <w:r w:rsidRPr="000D7BAE">
              <w:rPr>
                <w:rFonts w:asciiTheme="minorBidi" w:hAnsiTheme="minorBidi" w:cstheme="minorBidi"/>
                <w:b/>
                <w:bCs/>
                <w:color w:val="FFFFFF" w:themeColor="background1"/>
                <w:sz w:val="22"/>
                <w:szCs w:val="22"/>
                <w:lang w:val="en-GB"/>
              </w:rPr>
              <w:lastRenderedPageBreak/>
              <w:t>41C/5 Performance Indicator 2</w:t>
            </w:r>
          </w:p>
        </w:tc>
        <w:tc>
          <w:tcPr>
            <w:tcW w:w="3700" w:type="pct"/>
            <w:shd w:val="clear" w:color="auto" w:fill="808080" w:themeFill="background1" w:themeFillShade="80"/>
            <w:vAlign w:val="center"/>
          </w:tcPr>
          <w:p w14:paraId="0E8BCB49" w14:textId="5C467229" w:rsidR="000412FA" w:rsidRPr="000D7BAE" w:rsidRDefault="000412FA" w:rsidP="00265133">
            <w:pPr>
              <w:keepNext/>
              <w:spacing w:before="120" w:after="120"/>
              <w:rPr>
                <w:rFonts w:asciiTheme="minorBidi" w:hAnsiTheme="minorBidi" w:cstheme="minorBidi"/>
                <w:b/>
                <w:bCs/>
                <w:color w:val="FFFFFF" w:themeColor="background1"/>
                <w:sz w:val="22"/>
                <w:szCs w:val="22"/>
                <w:lang w:val="en-GB"/>
              </w:rPr>
            </w:pPr>
            <w:r w:rsidRPr="000D7BAE">
              <w:rPr>
                <w:rFonts w:asciiTheme="minorBidi" w:hAnsiTheme="minorBidi" w:cstheme="minorBidi"/>
                <w:b/>
                <w:bCs/>
                <w:color w:val="FFFFFF" w:themeColor="background1"/>
                <w:sz w:val="22"/>
                <w:szCs w:val="22"/>
                <w:lang w:val="en-GB"/>
              </w:rPr>
              <w:t>Number of Member States sustainably safeguarding living heritage through enhanced international cooperation and assistance mechanisms of the 2003 Convention for the Safeguarding of the Intangible Cultural Heritage</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702"/>
        <w:gridCol w:w="10891"/>
      </w:tblGrid>
      <w:tr w:rsidR="006E52F6" w:rsidRPr="000D7BAE" w14:paraId="7FDF255F" w14:textId="77777777" w:rsidTr="00474A2C">
        <w:trPr>
          <w:tblHeader/>
        </w:trPr>
        <w:tc>
          <w:tcPr>
            <w:tcW w:w="679" w:type="pct"/>
            <w:shd w:val="clear" w:color="auto" w:fill="D9D9D9" w:themeFill="background1" w:themeFillShade="D9"/>
            <w:vAlign w:val="center"/>
          </w:tcPr>
          <w:p w14:paraId="3C3CAAB5" w14:textId="77777777" w:rsidR="006E52F6" w:rsidRPr="000D7BAE" w:rsidRDefault="006E52F6" w:rsidP="00265133">
            <w:pPr>
              <w:spacing w:before="60" w:after="60"/>
              <w:jc w:val="center"/>
              <w:rPr>
                <w:rFonts w:asciiTheme="minorBidi" w:eastAsia="Calibri" w:hAnsiTheme="minorBidi" w:cstheme="minorBidi"/>
                <w:b/>
                <w:sz w:val="22"/>
                <w:szCs w:val="22"/>
                <w:lang w:val="en-GB"/>
              </w:rPr>
            </w:pPr>
            <w:r w:rsidRPr="000D7BAE">
              <w:rPr>
                <w:rFonts w:asciiTheme="minorBidi" w:hAnsiTheme="minorBidi" w:cstheme="minorBidi"/>
                <w:b/>
                <w:bCs/>
                <w:sz w:val="22"/>
                <w:szCs w:val="22"/>
                <w:lang w:val="en-GB"/>
              </w:rPr>
              <w:t>Baselines</w:t>
            </w:r>
          </w:p>
        </w:tc>
        <w:tc>
          <w:tcPr>
            <w:tcW w:w="584" w:type="pct"/>
            <w:shd w:val="clear" w:color="auto" w:fill="D9D9D9" w:themeFill="background1" w:themeFillShade="D9"/>
            <w:vAlign w:val="center"/>
          </w:tcPr>
          <w:p w14:paraId="7E6DC3C2" w14:textId="77777777" w:rsidR="006E52F6" w:rsidRPr="000D7BAE" w:rsidRDefault="006E52F6" w:rsidP="00265133">
            <w:pPr>
              <w:spacing w:before="60" w:after="60"/>
              <w:jc w:val="center"/>
              <w:rPr>
                <w:rFonts w:asciiTheme="minorBidi" w:eastAsia="Calibri" w:hAnsiTheme="minorBidi" w:cstheme="minorBidi"/>
                <w:b/>
                <w:sz w:val="22"/>
                <w:szCs w:val="22"/>
                <w:lang w:val="en-GB"/>
              </w:rPr>
            </w:pPr>
            <w:r w:rsidRPr="000D7BAE">
              <w:rPr>
                <w:rFonts w:asciiTheme="minorBidi" w:eastAsia="Calibri" w:hAnsiTheme="minorBidi" w:cstheme="minorBidi"/>
                <w:b/>
                <w:sz w:val="22"/>
                <w:szCs w:val="22"/>
                <w:lang w:val="en-GB"/>
              </w:rPr>
              <w:t>Targets 2023</w:t>
            </w:r>
          </w:p>
        </w:tc>
        <w:tc>
          <w:tcPr>
            <w:tcW w:w="3737" w:type="pct"/>
            <w:shd w:val="clear" w:color="auto" w:fill="D9D9D9" w:themeFill="background1" w:themeFillShade="D9"/>
            <w:vAlign w:val="center"/>
          </w:tcPr>
          <w:p w14:paraId="53FBD9CB" w14:textId="77777777" w:rsidR="006E52F6" w:rsidRPr="000D7BAE" w:rsidRDefault="006E52F6" w:rsidP="00265133">
            <w:pPr>
              <w:autoSpaceDE w:val="0"/>
              <w:autoSpaceDN w:val="0"/>
              <w:adjustRightInd w:val="0"/>
              <w:jc w:val="center"/>
              <w:rPr>
                <w:rFonts w:asciiTheme="minorBidi" w:eastAsia="Calibri" w:hAnsiTheme="minorBidi" w:cstheme="minorBidi"/>
                <w:b/>
                <w:color w:val="000000"/>
                <w:sz w:val="22"/>
                <w:szCs w:val="22"/>
                <w:lang w:val="en-GB"/>
              </w:rPr>
            </w:pPr>
            <w:r w:rsidRPr="000D7BAE">
              <w:rPr>
                <w:rFonts w:asciiTheme="minorBidi" w:eastAsia="Calibri" w:hAnsiTheme="minorBidi" w:cstheme="minorBidi"/>
                <w:b/>
                <w:sz w:val="22"/>
                <w:szCs w:val="22"/>
                <w:lang w:val="en-GB"/>
              </w:rPr>
              <w:t>Assessment of progress:</w:t>
            </w:r>
            <w:r w:rsidRPr="000D7BAE">
              <w:rPr>
                <w:rFonts w:asciiTheme="minorBidi" w:eastAsia="Calibri" w:hAnsiTheme="minorBidi" w:cstheme="minorBidi"/>
                <w:b/>
                <w:sz w:val="22"/>
                <w:szCs w:val="22"/>
                <w:lang w:val="en-GB"/>
              </w:rPr>
              <w:br/>
              <w:t>01/01/2022 to 30/06/2022</w:t>
            </w:r>
          </w:p>
        </w:tc>
      </w:tr>
      <w:tr w:rsidR="006E52F6" w:rsidRPr="009A072A" w14:paraId="63F626DB" w14:textId="77777777" w:rsidTr="00474A2C">
        <w:trPr>
          <w:trHeight w:val="4361"/>
          <w:tblHeader/>
        </w:trPr>
        <w:tc>
          <w:tcPr>
            <w:tcW w:w="679" w:type="pct"/>
            <w:shd w:val="clear" w:color="auto" w:fill="auto"/>
          </w:tcPr>
          <w:p w14:paraId="6B142932" w14:textId="3FE94A0D" w:rsidR="006E52F6" w:rsidRPr="000D7BAE" w:rsidRDefault="006E52F6" w:rsidP="00474A2C">
            <w:pPr>
              <w:spacing w:before="60" w:after="60"/>
              <w:rPr>
                <w:rFonts w:asciiTheme="minorBidi" w:hAnsiTheme="minorBidi" w:cstheme="minorBidi"/>
                <w:b/>
                <w:bCs/>
                <w:sz w:val="22"/>
                <w:szCs w:val="22"/>
                <w:lang w:val="en-GB"/>
              </w:rPr>
            </w:pPr>
            <w:r w:rsidRPr="00E961E4">
              <w:rPr>
                <w:rFonts w:asciiTheme="minorBidi" w:hAnsiTheme="minorBidi" w:cstheme="minorBidi"/>
                <w:sz w:val="22"/>
                <w:szCs w:val="22"/>
                <w:lang w:val="en-GB"/>
              </w:rPr>
              <w:t xml:space="preserve">80, </w:t>
            </w:r>
            <w:r w:rsidR="00AA6039" w:rsidRPr="00E961E4">
              <w:rPr>
                <w:rFonts w:asciiTheme="minorBidi" w:hAnsiTheme="minorBidi" w:cstheme="minorBidi"/>
                <w:sz w:val="22"/>
                <w:szCs w:val="22"/>
                <w:lang w:val="en-GB"/>
              </w:rPr>
              <w:t>including</w:t>
            </w:r>
            <w:r w:rsidR="00472BF1" w:rsidRPr="00E961E4">
              <w:rPr>
                <w:rFonts w:asciiTheme="minorBidi" w:hAnsiTheme="minorBidi" w:cstheme="minorBidi"/>
                <w:sz w:val="22"/>
                <w:szCs w:val="22"/>
                <w:lang w:val="en-GB"/>
              </w:rPr>
              <w:t xml:space="preserve"> 25</w:t>
            </w:r>
            <w:r w:rsidRPr="00E961E4">
              <w:rPr>
                <w:rFonts w:asciiTheme="minorBidi" w:hAnsiTheme="minorBidi" w:cstheme="minorBidi"/>
                <w:sz w:val="22"/>
                <w:szCs w:val="22"/>
                <w:lang w:val="en-GB"/>
              </w:rPr>
              <w:t xml:space="preserve"> in Africa and 15 SIDS</w:t>
            </w:r>
          </w:p>
        </w:tc>
        <w:tc>
          <w:tcPr>
            <w:tcW w:w="584" w:type="pct"/>
            <w:shd w:val="clear" w:color="auto" w:fill="auto"/>
          </w:tcPr>
          <w:p w14:paraId="7F7D42FE" w14:textId="73CAA1F9" w:rsidR="006E52F6" w:rsidRPr="000D7BAE" w:rsidRDefault="005176FE" w:rsidP="00474A2C">
            <w:pPr>
              <w:spacing w:before="60" w:after="60"/>
              <w:rPr>
                <w:rFonts w:asciiTheme="minorBidi" w:eastAsia="Calibri" w:hAnsiTheme="minorBidi" w:cstheme="minorBidi"/>
                <w:b/>
                <w:sz w:val="22"/>
                <w:szCs w:val="22"/>
                <w:lang w:val="en-GB"/>
              </w:rPr>
            </w:pPr>
            <w:r w:rsidRPr="00E961E4">
              <w:rPr>
                <w:rFonts w:asciiTheme="minorBidi" w:hAnsiTheme="minorBidi" w:cstheme="minorBidi"/>
                <w:sz w:val="22"/>
                <w:szCs w:val="22"/>
                <w:lang w:val="en-GB"/>
              </w:rPr>
              <w:t>9</w:t>
            </w:r>
            <w:r w:rsidR="006E52F6" w:rsidRPr="00E961E4">
              <w:rPr>
                <w:rFonts w:asciiTheme="minorBidi" w:hAnsiTheme="minorBidi" w:cstheme="minorBidi"/>
                <w:sz w:val="22"/>
                <w:szCs w:val="22"/>
                <w:lang w:val="en-GB"/>
              </w:rPr>
              <w:t xml:space="preserve">0, </w:t>
            </w:r>
            <w:r w:rsidR="00AA6039" w:rsidRPr="00E961E4">
              <w:rPr>
                <w:rFonts w:asciiTheme="minorBidi" w:hAnsiTheme="minorBidi" w:cstheme="minorBidi"/>
                <w:sz w:val="22"/>
                <w:szCs w:val="22"/>
                <w:lang w:val="en-GB"/>
              </w:rPr>
              <w:t>including</w:t>
            </w:r>
            <w:r w:rsidR="006E52F6" w:rsidRPr="00E961E4">
              <w:rPr>
                <w:rFonts w:asciiTheme="minorBidi" w:hAnsiTheme="minorBidi" w:cstheme="minorBidi"/>
                <w:sz w:val="22"/>
                <w:szCs w:val="22"/>
                <w:lang w:val="en-GB"/>
              </w:rPr>
              <w:t xml:space="preserve"> </w:t>
            </w:r>
            <w:r w:rsidRPr="00E961E4">
              <w:rPr>
                <w:rFonts w:asciiTheme="minorBidi" w:hAnsiTheme="minorBidi" w:cstheme="minorBidi"/>
                <w:sz w:val="22"/>
                <w:szCs w:val="22"/>
                <w:lang w:val="en-GB"/>
              </w:rPr>
              <w:t>40</w:t>
            </w:r>
            <w:r w:rsidR="006E52F6" w:rsidRPr="00E961E4">
              <w:rPr>
                <w:rFonts w:asciiTheme="minorBidi" w:hAnsiTheme="minorBidi" w:cstheme="minorBidi"/>
                <w:sz w:val="22"/>
                <w:szCs w:val="22"/>
                <w:lang w:val="en-GB"/>
              </w:rPr>
              <w:t xml:space="preserve"> in Africa and 1</w:t>
            </w:r>
            <w:r w:rsidRPr="00E961E4">
              <w:rPr>
                <w:rFonts w:asciiTheme="minorBidi" w:hAnsiTheme="minorBidi" w:cstheme="minorBidi"/>
                <w:sz w:val="22"/>
                <w:szCs w:val="22"/>
                <w:lang w:val="en-GB"/>
              </w:rPr>
              <w:t>7</w:t>
            </w:r>
            <w:r w:rsidR="006E52F6" w:rsidRPr="00E961E4">
              <w:rPr>
                <w:rFonts w:asciiTheme="minorBidi" w:hAnsiTheme="minorBidi" w:cstheme="minorBidi"/>
                <w:sz w:val="22"/>
                <w:szCs w:val="22"/>
                <w:lang w:val="en-GB"/>
              </w:rPr>
              <w:t xml:space="preserve"> SIDS</w:t>
            </w:r>
          </w:p>
        </w:tc>
        <w:tc>
          <w:tcPr>
            <w:tcW w:w="3737" w:type="pct"/>
            <w:shd w:val="clear" w:color="auto" w:fill="auto"/>
          </w:tcPr>
          <w:p w14:paraId="437A1816" w14:textId="73CA55B3" w:rsidR="000D50B5" w:rsidRPr="000D7BAE" w:rsidRDefault="000D50B5" w:rsidP="00F13825">
            <w:pPr>
              <w:pStyle w:val="ListParagraph"/>
              <w:numPr>
                <w:ilvl w:val="0"/>
                <w:numId w:val="8"/>
              </w:numPr>
              <w:spacing w:before="120" w:after="120"/>
              <w:ind w:left="323"/>
              <w:contextualSpacing w:val="0"/>
              <w:jc w:val="both"/>
              <w:rPr>
                <w:rFonts w:asciiTheme="minorBidi" w:hAnsiTheme="minorBidi" w:cstheme="minorBidi"/>
                <w:sz w:val="22"/>
                <w:szCs w:val="22"/>
                <w:lang w:val="en-GB"/>
              </w:rPr>
            </w:pPr>
            <w:r w:rsidRPr="000D7BAE">
              <w:rPr>
                <w:rFonts w:asciiTheme="minorBidi" w:hAnsiTheme="minorBidi" w:cstheme="minorBidi"/>
                <w:sz w:val="22"/>
                <w:szCs w:val="22"/>
                <w:lang w:val="en-GB"/>
              </w:rPr>
              <w:t>Working methods and tools of the Convention’s governing bodies and evaluation bodies adapted to online modalities, and knowledge management services optimized to ensure the continuity of statutory mechanisms and meetings</w:t>
            </w:r>
            <w:r w:rsidR="00140301" w:rsidRPr="000D7BAE">
              <w:rPr>
                <w:rFonts w:asciiTheme="minorBidi" w:hAnsiTheme="minorBidi" w:cstheme="minorBidi"/>
                <w:sz w:val="22"/>
                <w:szCs w:val="22"/>
                <w:lang w:val="en-GB"/>
              </w:rPr>
              <w:t>;</w:t>
            </w:r>
          </w:p>
          <w:p w14:paraId="5DE19F50" w14:textId="45310B73" w:rsidR="000D50B5" w:rsidRPr="000D7BAE" w:rsidRDefault="000D50B5" w:rsidP="00F13825">
            <w:pPr>
              <w:pStyle w:val="ListParagraph"/>
              <w:keepNext/>
              <w:keepLines/>
              <w:numPr>
                <w:ilvl w:val="0"/>
                <w:numId w:val="8"/>
              </w:numPr>
              <w:spacing w:before="120" w:after="120"/>
              <w:ind w:left="323"/>
              <w:contextualSpacing w:val="0"/>
              <w:jc w:val="both"/>
              <w:rPr>
                <w:rFonts w:asciiTheme="minorBidi" w:hAnsiTheme="minorBidi" w:cstheme="minorBidi"/>
                <w:sz w:val="22"/>
                <w:szCs w:val="22"/>
                <w:lang w:val="en-GB"/>
              </w:rPr>
            </w:pPr>
            <w:r w:rsidRPr="000D7BAE">
              <w:rPr>
                <w:rFonts w:asciiTheme="minorBidi" w:hAnsiTheme="minorBidi" w:cstheme="minorBidi"/>
                <w:sz w:val="22"/>
                <w:szCs w:val="22"/>
                <w:lang w:val="en-GB"/>
              </w:rPr>
              <w:t xml:space="preserve">Global reflection on the listing mechanisms of the Convention concluded and subsequent amendments to </w:t>
            </w:r>
            <w:r w:rsidR="00AA6039" w:rsidRPr="000D7BAE">
              <w:rPr>
                <w:rFonts w:asciiTheme="minorBidi" w:hAnsiTheme="minorBidi" w:cstheme="minorBidi"/>
                <w:sz w:val="22"/>
                <w:szCs w:val="22"/>
                <w:lang w:val="en-GB"/>
              </w:rPr>
              <w:t xml:space="preserve">the </w:t>
            </w:r>
            <w:r w:rsidRPr="000D7BAE">
              <w:rPr>
                <w:rFonts w:asciiTheme="minorBidi" w:hAnsiTheme="minorBidi" w:cstheme="minorBidi"/>
                <w:sz w:val="22"/>
                <w:szCs w:val="22"/>
                <w:lang w:val="en-GB"/>
              </w:rPr>
              <w:t>Operational Directives approved;</w:t>
            </w:r>
          </w:p>
          <w:p w14:paraId="31C0F7D2" w14:textId="12126E75" w:rsidR="006E52F6" w:rsidRPr="000D7BAE" w:rsidRDefault="00CD581C" w:rsidP="00F13825">
            <w:pPr>
              <w:pStyle w:val="ListParagraph"/>
              <w:numPr>
                <w:ilvl w:val="0"/>
                <w:numId w:val="8"/>
              </w:numPr>
              <w:autoSpaceDE w:val="0"/>
              <w:autoSpaceDN w:val="0"/>
              <w:adjustRightInd w:val="0"/>
              <w:ind w:left="323"/>
              <w:rPr>
                <w:rFonts w:asciiTheme="minorBidi" w:eastAsia="Calibri" w:hAnsiTheme="minorBidi" w:cstheme="minorBidi"/>
                <w:b/>
                <w:sz w:val="22"/>
                <w:szCs w:val="22"/>
                <w:lang w:val="en-GB"/>
              </w:rPr>
            </w:pPr>
            <w:r w:rsidRPr="000D7BAE">
              <w:rPr>
                <w:rFonts w:asciiTheme="minorBidi" w:hAnsiTheme="minorBidi" w:cstheme="minorBidi"/>
                <w:sz w:val="22"/>
                <w:szCs w:val="22"/>
                <w:lang w:val="en-GB"/>
              </w:rPr>
              <w:t>5</w:t>
            </w:r>
            <w:r w:rsidR="00B91FAF" w:rsidRPr="000D7BAE">
              <w:rPr>
                <w:rFonts w:asciiTheme="minorBidi" w:hAnsiTheme="minorBidi" w:cstheme="minorBidi"/>
                <w:sz w:val="22"/>
                <w:szCs w:val="22"/>
                <w:lang w:val="en-GB"/>
              </w:rPr>
              <w:t xml:space="preserve"> newly International Assistance requests processed and granted</w:t>
            </w:r>
            <w:r w:rsidR="006E52F6" w:rsidRPr="000D7BAE">
              <w:rPr>
                <w:rFonts w:asciiTheme="minorBidi" w:hAnsiTheme="minorBidi" w:cstheme="minorBidi"/>
                <w:sz w:val="22"/>
                <w:szCs w:val="22"/>
                <w:lang w:val="en-GB"/>
              </w:rPr>
              <w:t xml:space="preserve">, </w:t>
            </w:r>
            <w:r w:rsidR="00AA6039" w:rsidRPr="000D7BAE">
              <w:rPr>
                <w:rFonts w:asciiTheme="minorBidi" w:hAnsiTheme="minorBidi" w:cstheme="minorBidi"/>
                <w:sz w:val="22"/>
                <w:szCs w:val="22"/>
                <w:lang w:val="en-GB"/>
              </w:rPr>
              <w:t xml:space="preserve">including </w:t>
            </w:r>
            <w:r w:rsidR="00B91FAF" w:rsidRPr="000D7BAE">
              <w:rPr>
                <w:rFonts w:asciiTheme="minorBidi" w:hAnsiTheme="minorBidi" w:cstheme="minorBidi"/>
                <w:sz w:val="22"/>
                <w:szCs w:val="22"/>
                <w:lang w:val="en-GB"/>
              </w:rPr>
              <w:t xml:space="preserve">one from </w:t>
            </w:r>
            <w:r w:rsidR="006E52F6" w:rsidRPr="000D7BAE">
              <w:rPr>
                <w:rFonts w:asciiTheme="minorBidi" w:hAnsiTheme="minorBidi" w:cstheme="minorBidi"/>
                <w:sz w:val="22"/>
                <w:szCs w:val="22"/>
                <w:lang w:val="en-GB"/>
              </w:rPr>
              <w:t xml:space="preserve">Africa and </w:t>
            </w:r>
            <w:r w:rsidR="00B91FAF" w:rsidRPr="000D7BAE">
              <w:rPr>
                <w:rFonts w:asciiTheme="minorBidi" w:hAnsiTheme="minorBidi" w:cstheme="minorBidi"/>
                <w:sz w:val="22"/>
                <w:szCs w:val="22"/>
                <w:lang w:val="en-GB"/>
              </w:rPr>
              <w:t>two</w:t>
            </w:r>
            <w:r w:rsidR="006E52F6" w:rsidRPr="000D7BAE">
              <w:rPr>
                <w:rFonts w:asciiTheme="minorBidi" w:hAnsiTheme="minorBidi" w:cstheme="minorBidi"/>
                <w:sz w:val="22"/>
                <w:szCs w:val="22"/>
                <w:lang w:val="en-GB"/>
              </w:rPr>
              <w:t xml:space="preserve"> </w:t>
            </w:r>
            <w:r w:rsidR="00AA6039" w:rsidRPr="000D7BAE">
              <w:rPr>
                <w:rFonts w:asciiTheme="minorBidi" w:hAnsiTheme="minorBidi" w:cstheme="minorBidi"/>
                <w:sz w:val="22"/>
                <w:szCs w:val="22"/>
                <w:lang w:val="en-GB"/>
              </w:rPr>
              <w:t>from</w:t>
            </w:r>
            <w:r w:rsidR="006E52F6" w:rsidRPr="000D7BAE">
              <w:rPr>
                <w:rFonts w:asciiTheme="minorBidi" w:hAnsiTheme="minorBidi" w:cstheme="minorBidi"/>
                <w:sz w:val="22"/>
                <w:szCs w:val="22"/>
                <w:lang w:val="en-GB"/>
              </w:rPr>
              <w:t xml:space="preserve"> SIDS</w:t>
            </w:r>
            <w:r w:rsidR="00B91FAF" w:rsidRPr="000D7BAE">
              <w:rPr>
                <w:rFonts w:asciiTheme="minorBidi" w:hAnsiTheme="minorBidi" w:cstheme="minorBidi"/>
                <w:sz w:val="22"/>
                <w:szCs w:val="22"/>
                <w:lang w:val="en-GB"/>
              </w:rPr>
              <w:t>;</w:t>
            </w:r>
          </w:p>
          <w:p w14:paraId="2F799E51" w14:textId="68244216" w:rsidR="00BE6126" w:rsidRPr="000D7BAE" w:rsidRDefault="00B97467" w:rsidP="00F13825">
            <w:pPr>
              <w:pStyle w:val="ListParagraph"/>
              <w:numPr>
                <w:ilvl w:val="0"/>
                <w:numId w:val="8"/>
              </w:numPr>
              <w:spacing w:before="120" w:after="120"/>
              <w:ind w:left="323"/>
              <w:contextualSpacing w:val="0"/>
              <w:jc w:val="both"/>
              <w:rPr>
                <w:rFonts w:asciiTheme="minorBidi" w:hAnsiTheme="minorBidi" w:cstheme="minorBidi"/>
                <w:sz w:val="22"/>
                <w:szCs w:val="22"/>
                <w:lang w:val="en-GB"/>
              </w:rPr>
            </w:pPr>
            <w:r w:rsidRPr="000D7BAE">
              <w:rPr>
                <w:rFonts w:asciiTheme="minorBidi" w:hAnsiTheme="minorBidi" w:cstheme="minorBidi"/>
                <w:sz w:val="22"/>
                <w:szCs w:val="22"/>
                <w:lang w:val="en-GB"/>
              </w:rPr>
              <w:t>57</w:t>
            </w:r>
            <w:r w:rsidR="00BE6126" w:rsidRPr="000D7BAE">
              <w:rPr>
                <w:rFonts w:asciiTheme="minorBidi" w:hAnsiTheme="minorBidi" w:cstheme="minorBidi"/>
                <w:sz w:val="22"/>
                <w:szCs w:val="22"/>
                <w:lang w:val="en-GB"/>
              </w:rPr>
              <w:t xml:space="preserve"> nomination files treated for the 2022 cycle</w:t>
            </w:r>
            <w:r w:rsidR="007761D4" w:rsidRPr="000D7BAE">
              <w:rPr>
                <w:rStyle w:val="FootnoteReference"/>
                <w:rFonts w:asciiTheme="minorBidi" w:hAnsiTheme="minorBidi" w:cstheme="minorBidi"/>
                <w:sz w:val="22"/>
                <w:szCs w:val="22"/>
                <w:lang w:val="en-GB"/>
              </w:rPr>
              <w:footnoteReference w:id="6"/>
            </w:r>
            <w:r w:rsidRPr="000D7BAE">
              <w:rPr>
                <w:rFonts w:asciiTheme="minorBidi" w:hAnsiTheme="minorBidi" w:cstheme="minorBidi"/>
                <w:sz w:val="22"/>
                <w:szCs w:val="22"/>
                <w:lang w:val="en-GB"/>
              </w:rPr>
              <w:t xml:space="preserve">, including one file treated on an accelerated </w:t>
            </w:r>
            <w:r w:rsidR="005E0F8D" w:rsidRPr="000D7BAE">
              <w:rPr>
                <w:rFonts w:asciiTheme="minorBidi" w:hAnsiTheme="minorBidi" w:cstheme="minorBidi"/>
                <w:sz w:val="22"/>
                <w:szCs w:val="22"/>
                <w:lang w:val="en-GB"/>
              </w:rPr>
              <w:t xml:space="preserve">basis </w:t>
            </w:r>
            <w:r w:rsidRPr="000D7BAE">
              <w:rPr>
                <w:rFonts w:asciiTheme="minorBidi" w:hAnsiTheme="minorBidi" w:cstheme="minorBidi"/>
                <w:sz w:val="22"/>
                <w:szCs w:val="22"/>
                <w:lang w:val="en-GB"/>
              </w:rPr>
              <w:t>(case of extreme urgency, in the sense of Article 17.3)</w:t>
            </w:r>
            <w:r w:rsidR="00B66665" w:rsidRPr="000D7BAE">
              <w:rPr>
                <w:rFonts w:asciiTheme="minorBidi" w:hAnsiTheme="minorBidi" w:cstheme="minorBidi"/>
                <w:sz w:val="22"/>
                <w:szCs w:val="22"/>
                <w:lang w:val="en-GB"/>
              </w:rPr>
              <w:t>;</w:t>
            </w:r>
          </w:p>
          <w:p w14:paraId="31471817" w14:textId="086FA231" w:rsidR="008C1641" w:rsidRPr="00425923" w:rsidRDefault="005176FE" w:rsidP="00265133">
            <w:pPr>
              <w:pStyle w:val="ListParagraph"/>
              <w:numPr>
                <w:ilvl w:val="0"/>
                <w:numId w:val="8"/>
              </w:numPr>
              <w:spacing w:before="120" w:after="120"/>
              <w:ind w:left="323"/>
              <w:contextualSpacing w:val="0"/>
              <w:jc w:val="both"/>
              <w:rPr>
                <w:rFonts w:asciiTheme="minorBidi" w:hAnsiTheme="minorBidi" w:cstheme="minorBidi"/>
                <w:sz w:val="22"/>
                <w:szCs w:val="22"/>
                <w:lang w:val="en-GB"/>
              </w:rPr>
            </w:pPr>
            <w:r w:rsidRPr="000D7BAE">
              <w:rPr>
                <w:rFonts w:asciiTheme="minorBidi" w:hAnsiTheme="minorBidi" w:cstheme="minorBidi"/>
                <w:sz w:val="22"/>
                <w:szCs w:val="22"/>
                <w:lang w:val="en-GB"/>
              </w:rPr>
              <w:t>82 nomination files newly submitted</w:t>
            </w:r>
            <w:r w:rsidR="007761D4" w:rsidRPr="000D7BAE">
              <w:rPr>
                <w:rFonts w:asciiTheme="minorBidi" w:hAnsiTheme="minorBidi" w:cstheme="minorBidi"/>
                <w:sz w:val="22"/>
                <w:szCs w:val="22"/>
                <w:lang w:val="en-GB"/>
              </w:rPr>
              <w:t xml:space="preserve"> </w:t>
            </w:r>
            <w:proofErr w:type="gramStart"/>
            <w:r w:rsidR="007761D4" w:rsidRPr="00425923">
              <w:rPr>
                <w:rFonts w:asciiTheme="minorBidi" w:hAnsiTheme="minorBidi" w:cstheme="minorBidi"/>
                <w:sz w:val="22"/>
                <w:szCs w:val="22"/>
                <w:lang w:val="en-GB"/>
              </w:rPr>
              <w:t>registered</w:t>
            </w:r>
            <w:proofErr w:type="gramEnd"/>
            <w:r w:rsidR="007761D4" w:rsidRPr="00425923">
              <w:rPr>
                <w:rFonts w:asciiTheme="minorBidi" w:hAnsiTheme="minorBidi" w:cstheme="minorBidi"/>
                <w:sz w:val="22"/>
                <w:szCs w:val="22"/>
                <w:lang w:val="en-GB"/>
              </w:rPr>
              <w:t xml:space="preserve"> and </w:t>
            </w:r>
            <w:r w:rsidR="008C1641" w:rsidRPr="00425923">
              <w:rPr>
                <w:rFonts w:asciiTheme="minorBidi" w:hAnsiTheme="minorBidi" w:cstheme="minorBidi"/>
                <w:sz w:val="22"/>
                <w:szCs w:val="22"/>
                <w:lang w:val="en-GB"/>
              </w:rPr>
              <w:t>60 nomination files treated for the 2023 cycle</w:t>
            </w:r>
            <w:r w:rsidR="007761D4" w:rsidRPr="00425923">
              <w:rPr>
                <w:rFonts w:asciiTheme="minorBidi" w:hAnsiTheme="minorBidi" w:cstheme="minorBidi"/>
                <w:sz w:val="22"/>
                <w:szCs w:val="22"/>
                <w:lang w:val="en-GB"/>
              </w:rPr>
              <w:t>;</w:t>
            </w:r>
          </w:p>
          <w:p w14:paraId="5CEFAB46" w14:textId="72D16CBF" w:rsidR="005176FE" w:rsidRPr="00425923" w:rsidRDefault="000D50B5" w:rsidP="00F13825">
            <w:pPr>
              <w:pStyle w:val="ListParagraph"/>
              <w:keepNext/>
              <w:numPr>
                <w:ilvl w:val="0"/>
                <w:numId w:val="8"/>
              </w:numPr>
              <w:spacing w:before="120" w:after="120"/>
              <w:ind w:left="323"/>
              <w:contextualSpacing w:val="0"/>
              <w:jc w:val="both"/>
              <w:rPr>
                <w:rFonts w:asciiTheme="minorBidi" w:hAnsiTheme="minorBidi" w:cstheme="minorBidi"/>
                <w:sz w:val="22"/>
                <w:szCs w:val="22"/>
                <w:lang w:val="en-GB"/>
              </w:rPr>
            </w:pPr>
            <w:r w:rsidRPr="00425923">
              <w:rPr>
                <w:rFonts w:asciiTheme="minorBidi" w:hAnsiTheme="minorBidi" w:cstheme="minorBidi"/>
                <w:sz w:val="22"/>
                <w:szCs w:val="22"/>
                <w:lang w:val="en-GB"/>
              </w:rPr>
              <w:t>1</w:t>
            </w:r>
            <w:r w:rsidR="00686027" w:rsidRPr="00425923">
              <w:rPr>
                <w:rFonts w:asciiTheme="minorBidi" w:hAnsiTheme="minorBidi" w:cstheme="minorBidi"/>
                <w:sz w:val="22"/>
                <w:szCs w:val="22"/>
                <w:lang w:val="en-GB"/>
              </w:rPr>
              <w:t>2</w:t>
            </w:r>
            <w:r w:rsidR="005176FE" w:rsidRPr="00425923">
              <w:rPr>
                <w:rFonts w:asciiTheme="minorBidi" w:hAnsiTheme="minorBidi" w:cstheme="minorBidi"/>
                <w:sz w:val="22"/>
                <w:szCs w:val="22"/>
                <w:lang w:val="en-GB"/>
              </w:rPr>
              <w:t xml:space="preserve"> statutory meetings </w:t>
            </w:r>
            <w:r w:rsidR="00F508D7" w:rsidRPr="00425923">
              <w:rPr>
                <w:rFonts w:asciiTheme="minorBidi" w:hAnsiTheme="minorBidi" w:cstheme="minorBidi"/>
                <w:sz w:val="22"/>
                <w:szCs w:val="22"/>
                <w:lang w:val="en-GB"/>
              </w:rPr>
              <w:t xml:space="preserve">and interventions </w:t>
            </w:r>
            <w:r w:rsidR="005176FE" w:rsidRPr="00425923">
              <w:rPr>
                <w:rFonts w:asciiTheme="minorBidi" w:hAnsiTheme="minorBidi" w:cstheme="minorBidi"/>
                <w:sz w:val="22"/>
                <w:szCs w:val="22"/>
                <w:lang w:val="en-GB"/>
              </w:rPr>
              <w:t>organized</w:t>
            </w:r>
            <w:r w:rsidR="00140301" w:rsidRPr="00425923">
              <w:rPr>
                <w:rFonts w:asciiTheme="minorBidi" w:hAnsiTheme="minorBidi" w:cstheme="minorBidi"/>
                <w:sz w:val="22"/>
                <w:szCs w:val="22"/>
                <w:lang w:val="en-GB"/>
              </w:rPr>
              <w:t>;</w:t>
            </w:r>
            <w:r w:rsidR="005176FE" w:rsidRPr="00425923">
              <w:rPr>
                <w:rStyle w:val="FootnoteReference"/>
                <w:rFonts w:asciiTheme="minorBidi" w:hAnsiTheme="minorBidi" w:cstheme="minorBidi"/>
                <w:sz w:val="22"/>
                <w:szCs w:val="22"/>
                <w:lang w:val="en-GB"/>
              </w:rPr>
              <w:footnoteReference w:id="7"/>
            </w:r>
          </w:p>
          <w:p w14:paraId="038016C5" w14:textId="218E0871" w:rsidR="00312667" w:rsidRPr="000D7BAE" w:rsidRDefault="000D50B5" w:rsidP="00474A2C">
            <w:pPr>
              <w:pStyle w:val="COMPara"/>
              <w:keepNext/>
              <w:keepLines/>
              <w:numPr>
                <w:ilvl w:val="0"/>
                <w:numId w:val="8"/>
              </w:numPr>
              <w:spacing w:before="120"/>
              <w:ind w:left="323"/>
              <w:jc w:val="both"/>
              <w:rPr>
                <w:rFonts w:asciiTheme="minorBidi" w:hAnsiTheme="minorBidi" w:cstheme="minorBidi"/>
              </w:rPr>
            </w:pPr>
            <w:r w:rsidRPr="00425923">
              <w:rPr>
                <w:rFonts w:asciiTheme="minorBidi" w:hAnsiTheme="minorBidi" w:cstheme="minorBidi"/>
              </w:rPr>
              <w:t xml:space="preserve">First implementation of </w:t>
            </w:r>
            <w:r w:rsidRPr="00E961E4">
              <w:rPr>
                <w:rFonts w:asciiTheme="minorBidi" w:hAnsiTheme="minorBidi" w:cstheme="minorBidi"/>
              </w:rPr>
              <w:t>Article 17.</w:t>
            </w:r>
            <w:r w:rsidR="00B66665" w:rsidRPr="00E961E4">
              <w:rPr>
                <w:rFonts w:asciiTheme="minorBidi" w:hAnsiTheme="minorBidi" w:cstheme="minorBidi"/>
              </w:rPr>
              <w:t>3</w:t>
            </w:r>
            <w:r w:rsidRPr="00425923">
              <w:rPr>
                <w:rFonts w:asciiTheme="minorBidi" w:hAnsiTheme="minorBidi" w:cstheme="minorBidi"/>
              </w:rPr>
              <w:t xml:space="preserve"> of the Convention allowing </w:t>
            </w:r>
            <w:r w:rsidR="005E0F8D" w:rsidRPr="00425923">
              <w:rPr>
                <w:rFonts w:asciiTheme="minorBidi" w:hAnsiTheme="minorBidi" w:cstheme="minorBidi"/>
              </w:rPr>
              <w:t xml:space="preserve">for </w:t>
            </w:r>
            <w:r w:rsidR="00140301" w:rsidRPr="00425923">
              <w:rPr>
                <w:rFonts w:asciiTheme="minorBidi" w:hAnsiTheme="minorBidi" w:cstheme="minorBidi"/>
              </w:rPr>
              <w:t>an expeditious treatment (within ten weeks) of a nomination to the Urgent Safeguarding List</w:t>
            </w:r>
            <w:r w:rsidR="005E0F8D" w:rsidRPr="000D7BAE">
              <w:rPr>
                <w:rFonts w:asciiTheme="minorBidi" w:hAnsiTheme="minorBidi" w:cstheme="minorBidi"/>
              </w:rPr>
              <w:t>.</w:t>
            </w:r>
          </w:p>
        </w:tc>
      </w:tr>
    </w:tbl>
    <w:p w14:paraId="4D1420AB" w14:textId="77777777" w:rsidR="009325DE" w:rsidRPr="000D7BAE" w:rsidRDefault="009325DE">
      <w:pPr>
        <w:rPr>
          <w:rFonts w:ascii="Arial" w:eastAsia="SimSun" w:hAnsi="Arial" w:cs="Arial"/>
          <w:sz w:val="32"/>
          <w:szCs w:val="32"/>
          <w:u w:val="single"/>
          <w:lang w:val="en-GB"/>
        </w:rPr>
      </w:pPr>
    </w:p>
    <w:sectPr w:rsidR="009325DE" w:rsidRPr="000D7BAE" w:rsidSect="008717DE">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E4EC" w14:textId="77777777" w:rsidR="00265133" w:rsidRDefault="00265133" w:rsidP="00655736">
      <w:r>
        <w:separator/>
      </w:r>
    </w:p>
  </w:endnote>
  <w:endnote w:type="continuationSeparator" w:id="0">
    <w:p w14:paraId="237324CF" w14:textId="77777777" w:rsidR="00265133" w:rsidRDefault="0026513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F3E0" w14:textId="77777777" w:rsidR="00265133" w:rsidRDefault="00265133" w:rsidP="00655736">
      <w:r>
        <w:separator/>
      </w:r>
    </w:p>
  </w:footnote>
  <w:footnote w:type="continuationSeparator" w:id="0">
    <w:p w14:paraId="104FAA14" w14:textId="77777777" w:rsidR="00265133" w:rsidRDefault="00265133" w:rsidP="00655736">
      <w:r>
        <w:continuationSeparator/>
      </w:r>
    </w:p>
  </w:footnote>
  <w:footnote w:id="1">
    <w:p w14:paraId="47CC751C" w14:textId="36A55864" w:rsidR="00B86078" w:rsidRPr="009A072A" w:rsidRDefault="00B86078" w:rsidP="00E961E4">
      <w:pPr>
        <w:pStyle w:val="FootnoteText"/>
        <w:spacing w:after="60"/>
        <w:ind w:left="567" w:hanging="567"/>
        <w:jc w:val="both"/>
        <w:rPr>
          <w:rFonts w:asciiTheme="minorBidi" w:hAnsiTheme="minorBidi" w:cstheme="minorBidi"/>
          <w:sz w:val="18"/>
          <w:szCs w:val="18"/>
          <w:lang w:val="en-US"/>
        </w:rPr>
      </w:pPr>
      <w:r w:rsidRPr="009A072A">
        <w:rPr>
          <w:rStyle w:val="FootnoteReference"/>
          <w:rFonts w:asciiTheme="minorBidi" w:hAnsiTheme="minorBidi" w:cstheme="minorBidi"/>
          <w:sz w:val="18"/>
          <w:szCs w:val="18"/>
        </w:rPr>
        <w:footnoteRef/>
      </w:r>
      <w:r w:rsidRPr="009A072A">
        <w:rPr>
          <w:rFonts w:asciiTheme="minorBidi" w:hAnsiTheme="minorBidi" w:cstheme="minorBidi"/>
          <w:sz w:val="18"/>
          <w:szCs w:val="18"/>
          <w:lang w:val="en-US"/>
        </w:rPr>
        <w:t xml:space="preserve"> </w:t>
      </w:r>
      <w:r w:rsidRPr="009A072A">
        <w:rPr>
          <w:rFonts w:asciiTheme="minorBidi" w:hAnsiTheme="minorBidi" w:cstheme="minorBidi"/>
          <w:sz w:val="18"/>
          <w:szCs w:val="18"/>
          <w:lang w:val="en-US"/>
        </w:rPr>
        <w:tab/>
        <w:t xml:space="preserve">The report should be read together with the </w:t>
      </w:r>
      <w:r w:rsidR="00C154D9" w:rsidRPr="009A072A">
        <w:rPr>
          <w:rFonts w:asciiTheme="minorBidi" w:hAnsiTheme="minorBidi" w:cstheme="minorBidi"/>
          <w:sz w:val="18"/>
          <w:szCs w:val="18"/>
          <w:lang w:val="en-US"/>
        </w:rPr>
        <w:t xml:space="preserve">report </w:t>
      </w:r>
      <w:r w:rsidR="00145077" w:rsidRPr="009A072A">
        <w:rPr>
          <w:rFonts w:asciiTheme="minorBidi" w:hAnsiTheme="minorBidi" w:cstheme="minorBidi"/>
          <w:sz w:val="18"/>
          <w:szCs w:val="18"/>
          <w:lang w:val="en-US"/>
        </w:rPr>
        <w:t xml:space="preserve">‘Intangible Cultural Heritage Fund: </w:t>
      </w:r>
      <w:r w:rsidR="00C154D9" w:rsidRPr="009A072A">
        <w:rPr>
          <w:rFonts w:asciiTheme="minorBidi" w:hAnsiTheme="minorBidi" w:cstheme="minorBidi"/>
          <w:sz w:val="18"/>
          <w:szCs w:val="18"/>
          <w:lang w:val="en-US"/>
        </w:rPr>
        <w:t>voluntary supplementary contributions and other issues</w:t>
      </w:r>
      <w:r w:rsidR="00145077" w:rsidRPr="009A072A">
        <w:rPr>
          <w:rFonts w:asciiTheme="minorBidi" w:hAnsiTheme="minorBidi" w:cstheme="minorBidi"/>
          <w:sz w:val="18"/>
          <w:szCs w:val="18"/>
          <w:lang w:val="en-US"/>
        </w:rPr>
        <w:t>’</w:t>
      </w:r>
      <w:r w:rsidR="00145077" w:rsidRPr="00190A30">
        <w:rPr>
          <w:rFonts w:asciiTheme="minorBidi" w:hAnsiTheme="minorBidi" w:cstheme="minorBidi"/>
          <w:sz w:val="18"/>
          <w:szCs w:val="18"/>
          <w:lang w:val="en-US"/>
        </w:rPr>
        <w:t>, brought to the attention of the present session of the Committee under Item 12 of the provisional agenda</w:t>
      </w:r>
      <w:r w:rsidR="00C154D9" w:rsidRPr="00190A30">
        <w:rPr>
          <w:rFonts w:asciiTheme="minorBidi" w:hAnsiTheme="minorBidi" w:cstheme="minorBidi"/>
          <w:sz w:val="18"/>
          <w:szCs w:val="18"/>
          <w:lang w:val="en-US"/>
        </w:rPr>
        <w:t xml:space="preserve"> </w:t>
      </w:r>
      <w:r w:rsidRPr="00190A30">
        <w:rPr>
          <w:rFonts w:asciiTheme="minorBidi" w:hAnsiTheme="minorBidi" w:cstheme="minorBidi"/>
          <w:sz w:val="18"/>
          <w:szCs w:val="18"/>
          <w:lang w:val="en-US"/>
        </w:rPr>
        <w:t>(</w:t>
      </w:r>
      <w:r w:rsidRPr="00E961E4">
        <w:rPr>
          <w:rFonts w:asciiTheme="minorBidi" w:hAnsiTheme="minorBidi" w:cstheme="minorBidi"/>
          <w:sz w:val="18"/>
          <w:szCs w:val="18"/>
          <w:lang w:val="en-US"/>
        </w:rPr>
        <w:t xml:space="preserve">document </w:t>
      </w:r>
      <w:hyperlink r:id="rId1" w:history="1">
        <w:r w:rsidRPr="00E961E4">
          <w:rPr>
            <w:rStyle w:val="Hyperlink"/>
            <w:rFonts w:asciiTheme="minorBidi" w:hAnsiTheme="minorBidi" w:cstheme="minorBidi"/>
            <w:bCs/>
            <w:iCs/>
            <w:sz w:val="18"/>
            <w:szCs w:val="18"/>
            <w:lang w:val="en-US"/>
          </w:rPr>
          <w:t>LHE/2</w:t>
        </w:r>
        <w:r w:rsidR="00662E74" w:rsidRPr="00E961E4">
          <w:rPr>
            <w:rStyle w:val="Hyperlink"/>
            <w:rFonts w:asciiTheme="minorBidi" w:hAnsiTheme="minorBidi" w:cstheme="minorBidi"/>
            <w:bCs/>
            <w:iCs/>
            <w:sz w:val="18"/>
            <w:szCs w:val="18"/>
            <w:lang w:val="en-US"/>
          </w:rPr>
          <w:t>2</w:t>
        </w:r>
        <w:r w:rsidRPr="00E961E4">
          <w:rPr>
            <w:rStyle w:val="Hyperlink"/>
            <w:rFonts w:asciiTheme="minorBidi" w:hAnsiTheme="minorBidi" w:cstheme="minorBidi"/>
            <w:bCs/>
            <w:iCs/>
            <w:sz w:val="18"/>
            <w:szCs w:val="18"/>
            <w:lang w:val="en-US"/>
          </w:rPr>
          <w:t>/1</w:t>
        </w:r>
        <w:r w:rsidR="00662E74" w:rsidRPr="00E961E4">
          <w:rPr>
            <w:rStyle w:val="Hyperlink"/>
            <w:rFonts w:asciiTheme="minorBidi" w:hAnsiTheme="minorBidi" w:cstheme="minorBidi"/>
            <w:bCs/>
            <w:iCs/>
            <w:sz w:val="18"/>
            <w:szCs w:val="18"/>
            <w:lang w:val="en-US"/>
          </w:rPr>
          <w:t>7</w:t>
        </w:r>
        <w:r w:rsidRPr="00E961E4">
          <w:rPr>
            <w:rStyle w:val="Hyperlink"/>
            <w:rFonts w:asciiTheme="minorBidi" w:hAnsiTheme="minorBidi" w:cstheme="minorBidi"/>
            <w:bCs/>
            <w:iCs/>
            <w:sz w:val="18"/>
            <w:szCs w:val="18"/>
            <w:lang w:val="en-US"/>
          </w:rPr>
          <w:t>.COM/</w:t>
        </w:r>
        <w:r w:rsidR="00C154D9" w:rsidRPr="00E961E4">
          <w:rPr>
            <w:rStyle w:val="Hyperlink"/>
            <w:rFonts w:asciiTheme="minorBidi" w:hAnsiTheme="minorBidi" w:cstheme="minorBidi"/>
            <w:bCs/>
            <w:iCs/>
            <w:sz w:val="18"/>
            <w:szCs w:val="18"/>
            <w:lang w:val="en-US"/>
          </w:rPr>
          <w:t>12</w:t>
        </w:r>
      </w:hyperlink>
      <w:r w:rsidRPr="00190A30">
        <w:rPr>
          <w:rFonts w:asciiTheme="minorBidi" w:hAnsiTheme="minorBidi" w:cstheme="minorBidi"/>
          <w:bCs/>
          <w:iCs/>
          <w:sz w:val="18"/>
          <w:szCs w:val="18"/>
          <w:lang w:val="en-US"/>
        </w:rPr>
        <w:t>) and</w:t>
      </w:r>
      <w:r w:rsidR="00C154D9" w:rsidRPr="009A072A">
        <w:rPr>
          <w:rFonts w:asciiTheme="minorBidi" w:hAnsiTheme="minorBidi" w:cstheme="minorBidi"/>
          <w:bCs/>
          <w:iCs/>
          <w:sz w:val="18"/>
          <w:szCs w:val="18"/>
          <w:lang w:val="en-US"/>
        </w:rPr>
        <w:t xml:space="preserve"> the </w:t>
      </w:r>
      <w:r w:rsidR="00F87BCA" w:rsidRPr="009A072A">
        <w:rPr>
          <w:rFonts w:asciiTheme="minorBidi" w:hAnsiTheme="minorBidi" w:cstheme="minorBidi"/>
          <w:bCs/>
          <w:iCs/>
          <w:sz w:val="18"/>
          <w:szCs w:val="18"/>
          <w:lang w:val="en-US"/>
        </w:rPr>
        <w:t xml:space="preserve">Plan for the use of the resources of the Fund as approved by the ninth session of the General Assembly (Resolution </w:t>
      </w:r>
      <w:hyperlink r:id="rId2" w:history="1">
        <w:r w:rsidR="00F87BCA" w:rsidRPr="009A072A">
          <w:rPr>
            <w:rStyle w:val="Hyperlink"/>
            <w:rFonts w:asciiTheme="minorBidi" w:hAnsiTheme="minorBidi" w:cstheme="minorBidi"/>
            <w:sz w:val="18"/>
            <w:szCs w:val="18"/>
            <w:lang w:val="en-US"/>
          </w:rPr>
          <w:t>9.GA</w:t>
        </w:r>
        <w:r w:rsidR="00701B18" w:rsidRPr="009A072A">
          <w:rPr>
            <w:rStyle w:val="Hyperlink"/>
            <w:rFonts w:asciiTheme="minorBidi" w:hAnsiTheme="minorBidi" w:cstheme="minorBidi"/>
            <w:bCs/>
            <w:iCs/>
            <w:sz w:val="18"/>
            <w:szCs w:val="18"/>
            <w:lang w:val="en-US"/>
          </w:rPr>
          <w:t> </w:t>
        </w:r>
        <w:r w:rsidR="00F87BCA" w:rsidRPr="009A072A">
          <w:rPr>
            <w:rStyle w:val="Hyperlink"/>
            <w:rFonts w:asciiTheme="minorBidi" w:hAnsiTheme="minorBidi" w:cstheme="minorBidi"/>
            <w:sz w:val="18"/>
            <w:szCs w:val="18"/>
            <w:lang w:val="en-US"/>
          </w:rPr>
          <w:t>10</w:t>
        </w:r>
      </w:hyperlink>
      <w:r w:rsidR="00F87BCA" w:rsidRPr="009A072A">
        <w:rPr>
          <w:rFonts w:asciiTheme="minorBidi" w:hAnsiTheme="minorBidi" w:cstheme="minorBidi"/>
          <w:bCs/>
          <w:iCs/>
          <w:sz w:val="18"/>
          <w:szCs w:val="18"/>
          <w:lang w:val="en-US"/>
        </w:rPr>
        <w:t xml:space="preserve">; document </w:t>
      </w:r>
      <w:hyperlink r:id="rId3" w:history="1">
        <w:r w:rsidR="00FA3FE5" w:rsidRPr="009A072A">
          <w:rPr>
            <w:rStyle w:val="Hyperlink"/>
            <w:rFonts w:asciiTheme="minorBidi" w:hAnsiTheme="minorBidi" w:cstheme="minorBidi"/>
            <w:sz w:val="18"/>
            <w:szCs w:val="18"/>
            <w:lang w:val="en-US"/>
          </w:rPr>
          <w:t>LHE/22</w:t>
        </w:r>
        <w:r w:rsidR="00525D85" w:rsidRPr="009A072A">
          <w:rPr>
            <w:rStyle w:val="Hyperlink"/>
            <w:rFonts w:asciiTheme="minorBidi" w:hAnsiTheme="minorBidi" w:cstheme="minorBidi"/>
            <w:bCs/>
            <w:iCs/>
            <w:sz w:val="18"/>
            <w:szCs w:val="18"/>
            <w:lang w:val="en-US"/>
          </w:rPr>
          <w:t>/</w:t>
        </w:r>
        <w:r w:rsidR="00FA3FE5" w:rsidRPr="009A072A">
          <w:rPr>
            <w:rStyle w:val="Hyperlink"/>
            <w:rFonts w:asciiTheme="minorBidi" w:hAnsiTheme="minorBidi" w:cstheme="minorBidi"/>
            <w:sz w:val="18"/>
            <w:szCs w:val="18"/>
            <w:lang w:val="en-US"/>
          </w:rPr>
          <w:t>9.GA/10</w:t>
        </w:r>
      </w:hyperlink>
      <w:r w:rsidR="00F87BCA" w:rsidRPr="009A072A">
        <w:rPr>
          <w:rFonts w:asciiTheme="minorBidi" w:hAnsiTheme="minorBidi" w:cstheme="minorBidi"/>
          <w:bCs/>
          <w:iCs/>
          <w:sz w:val="18"/>
          <w:szCs w:val="18"/>
          <w:lang w:val="en-US"/>
        </w:rPr>
        <w:t>)</w:t>
      </w:r>
      <w:r w:rsidR="00FA3FE5" w:rsidRPr="009A072A">
        <w:rPr>
          <w:rFonts w:asciiTheme="minorBidi" w:hAnsiTheme="minorBidi" w:cstheme="minorBidi"/>
          <w:sz w:val="18"/>
          <w:szCs w:val="18"/>
          <w:lang w:val="en-US"/>
        </w:rPr>
        <w:t>.</w:t>
      </w:r>
    </w:p>
  </w:footnote>
  <w:footnote w:id="2">
    <w:p w14:paraId="2BC6CD29" w14:textId="549FAF46" w:rsidR="00664B02" w:rsidRPr="00E961E4" w:rsidRDefault="00664B02" w:rsidP="00E961E4">
      <w:pPr>
        <w:pStyle w:val="FootnoteText"/>
        <w:spacing w:after="60"/>
        <w:ind w:left="567" w:hanging="567"/>
        <w:jc w:val="both"/>
        <w:rPr>
          <w:rFonts w:asciiTheme="minorBidi" w:hAnsiTheme="minorBidi" w:cstheme="minorBidi"/>
          <w:sz w:val="18"/>
          <w:szCs w:val="18"/>
          <w:lang w:val="en-US"/>
        </w:rPr>
      </w:pPr>
      <w:r w:rsidRPr="00E961E4">
        <w:rPr>
          <w:rStyle w:val="FootnoteReference"/>
          <w:rFonts w:asciiTheme="minorBidi" w:hAnsiTheme="minorBidi" w:cstheme="minorBidi"/>
          <w:sz w:val="18"/>
          <w:szCs w:val="18"/>
        </w:rPr>
        <w:footnoteRef/>
      </w:r>
      <w:r w:rsidRPr="00E961E4">
        <w:rPr>
          <w:rFonts w:asciiTheme="minorBidi" w:hAnsiTheme="minorBidi" w:cstheme="minorBidi"/>
          <w:sz w:val="18"/>
          <w:szCs w:val="18"/>
          <w:lang w:val="en-US"/>
        </w:rPr>
        <w:t xml:space="preserve"> </w:t>
      </w:r>
      <w:r w:rsidRPr="00E961E4">
        <w:rPr>
          <w:rFonts w:asciiTheme="minorBidi" w:hAnsiTheme="minorBidi" w:cstheme="minorBidi"/>
          <w:sz w:val="18"/>
          <w:szCs w:val="18"/>
          <w:lang w:val="en-US"/>
        </w:rPr>
        <w:tab/>
      </w:r>
      <w:r w:rsidRPr="009A072A">
        <w:rPr>
          <w:rFonts w:asciiTheme="minorBidi" w:hAnsiTheme="minorBidi" w:cstheme="minorBidi"/>
          <w:sz w:val="18"/>
          <w:szCs w:val="18"/>
          <w:lang w:val="en-US"/>
        </w:rPr>
        <w:t>The report includes the ninth session of the General Assembly (</w:t>
      </w:r>
      <w:r w:rsidR="004E6C4F" w:rsidRPr="009A072A">
        <w:rPr>
          <w:rFonts w:asciiTheme="minorBidi" w:hAnsiTheme="minorBidi" w:cstheme="minorBidi"/>
          <w:sz w:val="18"/>
          <w:szCs w:val="18"/>
          <w:lang w:val="en-US"/>
        </w:rPr>
        <w:t>UNESCO Headquarters, 5 to 7 Jul</w:t>
      </w:r>
      <w:r w:rsidR="005F778A" w:rsidRPr="009A072A">
        <w:rPr>
          <w:rFonts w:asciiTheme="minorBidi" w:hAnsiTheme="minorBidi" w:cstheme="minorBidi"/>
          <w:sz w:val="18"/>
          <w:szCs w:val="18"/>
          <w:lang w:val="en-US"/>
        </w:rPr>
        <w:t>y</w:t>
      </w:r>
      <w:r w:rsidR="004E6C4F" w:rsidRPr="009A072A">
        <w:rPr>
          <w:rFonts w:asciiTheme="minorBidi" w:hAnsiTheme="minorBidi" w:cstheme="minorBidi"/>
          <w:sz w:val="18"/>
          <w:szCs w:val="18"/>
          <w:lang w:val="en-US"/>
        </w:rPr>
        <w:t xml:space="preserve"> 2022</w:t>
      </w:r>
      <w:r w:rsidRPr="009A072A">
        <w:rPr>
          <w:rFonts w:asciiTheme="minorBidi" w:hAnsiTheme="minorBidi" w:cstheme="minorBidi"/>
          <w:sz w:val="18"/>
          <w:szCs w:val="18"/>
          <w:lang w:val="en-US"/>
        </w:rPr>
        <w:t>)</w:t>
      </w:r>
      <w:r w:rsidR="004E6C4F" w:rsidRPr="009A072A">
        <w:rPr>
          <w:rFonts w:asciiTheme="minorBidi" w:hAnsiTheme="minorBidi" w:cstheme="minorBidi"/>
          <w:sz w:val="18"/>
          <w:szCs w:val="18"/>
          <w:lang w:val="en-US"/>
        </w:rPr>
        <w:t xml:space="preserve"> since many activities </w:t>
      </w:r>
      <w:r w:rsidR="006511FD" w:rsidRPr="009A072A">
        <w:rPr>
          <w:rFonts w:asciiTheme="minorBidi" w:hAnsiTheme="minorBidi" w:cstheme="minorBidi"/>
          <w:sz w:val="18"/>
          <w:szCs w:val="18"/>
          <w:lang w:val="en-US"/>
        </w:rPr>
        <w:t>undertaken</w:t>
      </w:r>
      <w:r w:rsidR="004E6C4F" w:rsidRPr="009A072A">
        <w:rPr>
          <w:rFonts w:asciiTheme="minorBidi" w:hAnsiTheme="minorBidi" w:cstheme="minorBidi"/>
          <w:sz w:val="18"/>
          <w:szCs w:val="18"/>
          <w:lang w:val="en-US"/>
        </w:rPr>
        <w:t xml:space="preserve"> during the reporting period </w:t>
      </w:r>
      <w:r w:rsidR="006511FD" w:rsidRPr="009A072A">
        <w:rPr>
          <w:rFonts w:asciiTheme="minorBidi" w:hAnsiTheme="minorBidi" w:cstheme="minorBidi"/>
          <w:sz w:val="18"/>
          <w:szCs w:val="18"/>
          <w:lang w:val="en-US"/>
        </w:rPr>
        <w:t>led to the decisions taken by that session of the Assembly.</w:t>
      </w:r>
    </w:p>
  </w:footnote>
  <w:footnote w:id="3">
    <w:p w14:paraId="64E5FF0C" w14:textId="02241C5F" w:rsidR="0017207F" w:rsidRPr="00E961E4" w:rsidRDefault="0017207F" w:rsidP="00E961E4">
      <w:pPr>
        <w:pStyle w:val="FootnoteText"/>
        <w:spacing w:after="60"/>
        <w:rPr>
          <w:rFonts w:asciiTheme="minorBidi" w:hAnsiTheme="minorBidi" w:cstheme="minorBidi"/>
          <w:sz w:val="18"/>
          <w:szCs w:val="18"/>
          <w:lang w:val="en-GB"/>
        </w:rPr>
      </w:pPr>
      <w:r w:rsidRPr="00E961E4">
        <w:rPr>
          <w:rStyle w:val="FootnoteReference"/>
          <w:rFonts w:asciiTheme="minorBidi" w:hAnsiTheme="minorBidi" w:cstheme="minorBidi"/>
          <w:sz w:val="18"/>
          <w:szCs w:val="18"/>
        </w:rPr>
        <w:footnoteRef/>
      </w:r>
      <w:r w:rsidRPr="00E961E4">
        <w:rPr>
          <w:rFonts w:asciiTheme="minorBidi" w:hAnsiTheme="minorBidi" w:cstheme="minorBidi"/>
          <w:sz w:val="18"/>
          <w:szCs w:val="18"/>
          <w:lang w:val="en-US"/>
        </w:rPr>
        <w:t xml:space="preserve"> </w:t>
      </w:r>
      <w:r w:rsidRPr="00E961E4">
        <w:rPr>
          <w:rFonts w:asciiTheme="minorBidi" w:hAnsiTheme="minorBidi" w:cstheme="minorBidi"/>
          <w:sz w:val="18"/>
          <w:szCs w:val="18"/>
          <w:lang w:val="en-US"/>
        </w:rPr>
        <w:tab/>
      </w:r>
      <w:r w:rsidRPr="00E961E4">
        <w:rPr>
          <w:rFonts w:asciiTheme="minorBidi" w:hAnsiTheme="minorBidi" w:cstheme="minorBidi"/>
          <w:sz w:val="18"/>
          <w:szCs w:val="18"/>
          <w:lang w:val="en-GB"/>
        </w:rPr>
        <w:t>As amended by APX Commission (</w:t>
      </w:r>
      <w:r w:rsidR="00A4713D" w:rsidRPr="00E961E4">
        <w:rPr>
          <w:rFonts w:asciiTheme="minorBidi" w:hAnsiTheme="minorBidi" w:cstheme="minorBidi"/>
          <w:sz w:val="18"/>
          <w:szCs w:val="18"/>
          <w:lang w:val="en-GB"/>
        </w:rPr>
        <w:t xml:space="preserve">document </w:t>
      </w:r>
      <w:hyperlink r:id="rId4" w:history="1">
        <w:r w:rsidR="00A4713D" w:rsidRPr="00E961E4">
          <w:rPr>
            <w:rStyle w:val="Hyperlink"/>
            <w:rFonts w:asciiTheme="minorBidi" w:hAnsiTheme="minorBidi" w:cstheme="minorBidi"/>
            <w:lang w:val="en-GB"/>
          </w:rPr>
          <w:t>39 C/70</w:t>
        </w:r>
      </w:hyperlink>
      <w:r w:rsidRPr="00E961E4">
        <w:rPr>
          <w:rFonts w:asciiTheme="minorBidi" w:hAnsiTheme="minorBidi" w:cstheme="minorBidi"/>
          <w:sz w:val="18"/>
          <w:szCs w:val="18"/>
          <w:lang w:val="en-GB"/>
        </w:rPr>
        <w:t>)</w:t>
      </w:r>
    </w:p>
  </w:footnote>
  <w:footnote w:id="4">
    <w:p w14:paraId="2D3566D0" w14:textId="4AFEF676" w:rsidR="00312667" w:rsidRPr="00E961E4" w:rsidRDefault="00312667">
      <w:pPr>
        <w:pStyle w:val="FootnoteText"/>
        <w:tabs>
          <w:tab w:val="left" w:pos="567"/>
        </w:tabs>
        <w:spacing w:after="60"/>
        <w:ind w:left="567" w:hanging="567"/>
        <w:contextualSpacing/>
        <w:jc w:val="both"/>
        <w:rPr>
          <w:rFonts w:asciiTheme="minorBidi" w:hAnsiTheme="minorBidi" w:cstheme="minorBidi"/>
          <w:sz w:val="18"/>
          <w:szCs w:val="18"/>
          <w:highlight w:val="yellow"/>
          <w:lang w:val="en-GB"/>
        </w:rPr>
      </w:pPr>
      <w:r w:rsidRPr="00E961E4">
        <w:rPr>
          <w:rFonts w:asciiTheme="minorBidi" w:hAnsiTheme="minorBidi" w:cstheme="minorBidi"/>
          <w:sz w:val="18"/>
          <w:szCs w:val="18"/>
          <w:vertAlign w:val="superscript"/>
        </w:rPr>
        <w:footnoteRef/>
      </w:r>
      <w:r w:rsidRPr="00E961E4">
        <w:rPr>
          <w:rFonts w:asciiTheme="minorBidi" w:hAnsiTheme="minorBidi" w:cstheme="minorBidi"/>
          <w:sz w:val="18"/>
          <w:szCs w:val="18"/>
          <w:lang w:val="en-GB"/>
        </w:rPr>
        <w:t>.</w:t>
      </w:r>
      <w:r w:rsidRPr="00E961E4">
        <w:rPr>
          <w:rFonts w:asciiTheme="minorBidi" w:hAnsiTheme="minorBidi" w:cstheme="minorBidi"/>
          <w:sz w:val="18"/>
          <w:szCs w:val="18"/>
          <w:lang w:val="en-GB"/>
        </w:rPr>
        <w:tab/>
      </w:r>
      <w:bookmarkStart w:id="6" w:name="_Hlk106219719"/>
      <w:r w:rsidRPr="00E961E4">
        <w:rPr>
          <w:rFonts w:asciiTheme="minorBidi" w:hAnsiTheme="minorBidi" w:cstheme="minorBidi"/>
          <w:sz w:val="18"/>
          <w:szCs w:val="18"/>
          <w:lang w:val="en-GB"/>
        </w:rPr>
        <w:t>Arab States region kick</w:t>
      </w:r>
      <w:r w:rsidR="00B66665" w:rsidRPr="00E961E4">
        <w:rPr>
          <w:rFonts w:asciiTheme="minorBidi" w:hAnsiTheme="minorBidi" w:cstheme="minorBidi"/>
          <w:sz w:val="18"/>
          <w:szCs w:val="18"/>
          <w:lang w:val="en-GB"/>
        </w:rPr>
        <w:t>ed</w:t>
      </w:r>
      <w:r w:rsidRPr="00E961E4">
        <w:rPr>
          <w:rFonts w:asciiTheme="minorBidi" w:hAnsiTheme="minorBidi" w:cstheme="minorBidi"/>
          <w:sz w:val="18"/>
          <w:szCs w:val="18"/>
          <w:lang w:val="en-GB"/>
        </w:rPr>
        <w:t>-off training on periodic reporting at the Sharjah Institute for Heritage – (hybrid, 21-25 March 2022).</w:t>
      </w:r>
    </w:p>
    <w:bookmarkEnd w:id="6"/>
  </w:footnote>
  <w:footnote w:id="5">
    <w:p w14:paraId="2FE952D6" w14:textId="28197E73" w:rsidR="00312667" w:rsidRPr="009A072A" w:rsidRDefault="00312667">
      <w:pPr>
        <w:tabs>
          <w:tab w:val="left" w:pos="540"/>
        </w:tabs>
        <w:spacing w:after="60"/>
        <w:ind w:left="567" w:hanging="567"/>
        <w:contextualSpacing/>
        <w:jc w:val="both"/>
        <w:rPr>
          <w:rFonts w:asciiTheme="minorBidi" w:hAnsiTheme="minorBidi" w:cstheme="minorBidi"/>
          <w:sz w:val="18"/>
          <w:szCs w:val="18"/>
          <w:lang w:val="en-GB"/>
        </w:rPr>
      </w:pPr>
      <w:r w:rsidRPr="009A072A">
        <w:rPr>
          <w:rFonts w:asciiTheme="minorBidi" w:hAnsiTheme="minorBidi" w:cstheme="minorBidi"/>
          <w:sz w:val="18"/>
          <w:szCs w:val="18"/>
          <w:vertAlign w:val="superscript"/>
          <w:lang w:val="en-GB"/>
        </w:rPr>
        <w:footnoteRef/>
      </w:r>
      <w:r w:rsidRPr="009A072A">
        <w:rPr>
          <w:rFonts w:asciiTheme="minorBidi" w:hAnsiTheme="minorBidi" w:cstheme="minorBidi"/>
          <w:sz w:val="18"/>
          <w:szCs w:val="18"/>
          <w:lang w:val="en-GB"/>
        </w:rPr>
        <w:t>.</w:t>
      </w:r>
      <w:r w:rsidRPr="009A072A">
        <w:rPr>
          <w:rFonts w:asciiTheme="minorBidi" w:hAnsiTheme="minorBidi" w:cstheme="minorBidi"/>
          <w:sz w:val="18"/>
          <w:szCs w:val="18"/>
          <w:lang w:val="en-GB"/>
        </w:rPr>
        <w:tab/>
      </w:r>
      <w:bookmarkStart w:id="7" w:name="_Hlk106220221"/>
      <w:r w:rsidRPr="00E961E4">
        <w:rPr>
          <w:rFonts w:asciiTheme="minorBidi" w:hAnsiTheme="minorBidi" w:cstheme="minorBidi"/>
          <w:sz w:val="18"/>
          <w:szCs w:val="18"/>
          <w:lang w:val="en-GB"/>
        </w:rPr>
        <w:t xml:space="preserve">Inter-regional inception workshop for the project ‘Capacity-building for safeguarding intangible cultural heritage in emergencies in Small Island Developing States in the Pacific and the Caribbean’ – (online, </w:t>
      </w:r>
      <w:r w:rsidR="00B66665" w:rsidRPr="00E961E4">
        <w:rPr>
          <w:rFonts w:asciiTheme="minorBidi" w:hAnsiTheme="minorBidi" w:cstheme="minorBidi"/>
          <w:sz w:val="18"/>
          <w:szCs w:val="18"/>
          <w:lang w:val="en-GB"/>
        </w:rPr>
        <w:t>0</w:t>
      </w:r>
      <w:r w:rsidR="00AA6039" w:rsidRPr="00E961E4">
        <w:rPr>
          <w:rFonts w:asciiTheme="minorBidi" w:hAnsiTheme="minorBidi" w:cstheme="minorBidi"/>
          <w:sz w:val="18"/>
          <w:szCs w:val="18"/>
          <w:lang w:val="en-GB"/>
        </w:rPr>
        <w:t>7</w:t>
      </w:r>
      <w:r w:rsidR="00B66665" w:rsidRPr="00E961E4">
        <w:rPr>
          <w:rFonts w:asciiTheme="minorBidi" w:hAnsiTheme="minorBidi" w:cstheme="minorBidi"/>
          <w:sz w:val="18"/>
          <w:szCs w:val="18"/>
          <w:lang w:val="en-GB"/>
        </w:rPr>
        <w:t>/0</w:t>
      </w:r>
      <w:r w:rsidR="00AA6039" w:rsidRPr="00E961E4">
        <w:rPr>
          <w:rFonts w:asciiTheme="minorBidi" w:hAnsiTheme="minorBidi" w:cstheme="minorBidi"/>
          <w:sz w:val="18"/>
          <w:szCs w:val="18"/>
          <w:lang w:val="en-GB"/>
        </w:rPr>
        <w:t>8</w:t>
      </w:r>
      <w:r w:rsidRPr="00E961E4">
        <w:rPr>
          <w:rFonts w:asciiTheme="minorBidi" w:hAnsiTheme="minorBidi" w:cstheme="minorBidi"/>
          <w:sz w:val="18"/>
          <w:szCs w:val="18"/>
          <w:lang w:val="en-GB"/>
        </w:rPr>
        <w:t xml:space="preserve"> April 2022)</w:t>
      </w:r>
      <w:r w:rsidRPr="009A072A">
        <w:rPr>
          <w:rFonts w:asciiTheme="minorBidi" w:hAnsiTheme="minorBidi" w:cstheme="minorBidi"/>
          <w:sz w:val="18"/>
          <w:szCs w:val="18"/>
          <w:lang w:val="en-GB"/>
        </w:rPr>
        <w:t>.</w:t>
      </w:r>
      <w:bookmarkEnd w:id="7"/>
    </w:p>
  </w:footnote>
  <w:footnote w:id="6">
    <w:p w14:paraId="52E92CA5" w14:textId="39E708D7" w:rsidR="007761D4" w:rsidRPr="00E961E4" w:rsidRDefault="007761D4">
      <w:pPr>
        <w:pStyle w:val="FootnoteText"/>
        <w:spacing w:after="60"/>
        <w:ind w:left="567" w:hanging="567"/>
        <w:contextualSpacing/>
        <w:jc w:val="both"/>
        <w:rPr>
          <w:rFonts w:asciiTheme="minorBidi" w:hAnsiTheme="minorBidi" w:cstheme="minorBidi"/>
          <w:sz w:val="18"/>
          <w:szCs w:val="18"/>
          <w:lang w:val="en-GB"/>
        </w:rPr>
      </w:pPr>
      <w:r w:rsidRPr="00E961E4">
        <w:rPr>
          <w:rStyle w:val="FootnoteReference"/>
          <w:rFonts w:asciiTheme="minorBidi" w:hAnsiTheme="minorBidi" w:cstheme="minorBidi"/>
          <w:sz w:val="18"/>
          <w:szCs w:val="18"/>
          <w:lang w:val="en-GB"/>
        </w:rPr>
        <w:footnoteRef/>
      </w:r>
      <w:r w:rsidRPr="00E961E4">
        <w:rPr>
          <w:rFonts w:asciiTheme="minorBidi" w:hAnsiTheme="minorBidi" w:cstheme="minorBidi"/>
          <w:sz w:val="18"/>
          <w:szCs w:val="18"/>
          <w:lang w:val="en-GB"/>
        </w:rPr>
        <w:t>.</w:t>
      </w:r>
      <w:r w:rsidRPr="00E961E4">
        <w:rPr>
          <w:rFonts w:asciiTheme="minorBidi" w:hAnsiTheme="minorBidi" w:cstheme="minorBidi"/>
          <w:sz w:val="18"/>
          <w:szCs w:val="18"/>
          <w:lang w:val="en-GB"/>
        </w:rPr>
        <w:tab/>
        <w:t>During the reporting period, the Secretariat organized two meetings of the Evaluation Body for the evaluation of fifty-</w:t>
      </w:r>
      <w:r w:rsidR="00B97467" w:rsidRPr="00E961E4">
        <w:rPr>
          <w:rFonts w:asciiTheme="minorBidi" w:hAnsiTheme="minorBidi" w:cstheme="minorBidi"/>
          <w:sz w:val="18"/>
          <w:szCs w:val="18"/>
          <w:lang w:val="en-GB"/>
        </w:rPr>
        <w:t>six</w:t>
      </w:r>
      <w:r w:rsidRPr="00E961E4">
        <w:rPr>
          <w:rFonts w:asciiTheme="minorBidi" w:hAnsiTheme="minorBidi" w:cstheme="minorBidi"/>
          <w:sz w:val="18"/>
          <w:szCs w:val="18"/>
          <w:lang w:val="en-GB"/>
        </w:rPr>
        <w:t xml:space="preserve"> nomination files under the 2022 cycle in addition to the evaluation of one file on an accelerated basis (in the sense of </w:t>
      </w:r>
      <w:r w:rsidR="00AA6039" w:rsidRPr="00E961E4">
        <w:rPr>
          <w:rFonts w:asciiTheme="minorBidi" w:hAnsiTheme="minorBidi" w:cstheme="minorBidi"/>
          <w:sz w:val="18"/>
          <w:szCs w:val="18"/>
          <w:lang w:val="en-GB"/>
        </w:rPr>
        <w:t>A</w:t>
      </w:r>
      <w:r w:rsidRPr="00E961E4">
        <w:rPr>
          <w:rFonts w:asciiTheme="minorBidi" w:hAnsiTheme="minorBidi" w:cstheme="minorBidi"/>
          <w:sz w:val="18"/>
          <w:szCs w:val="18"/>
          <w:lang w:val="en-GB"/>
        </w:rPr>
        <w:t>rticle 17.</w:t>
      </w:r>
      <w:r w:rsidR="00AA6039" w:rsidRPr="00E961E4">
        <w:rPr>
          <w:rFonts w:asciiTheme="minorBidi" w:hAnsiTheme="minorBidi" w:cstheme="minorBidi"/>
          <w:sz w:val="18"/>
          <w:szCs w:val="18"/>
          <w:lang w:val="en-GB"/>
        </w:rPr>
        <w:t>3</w:t>
      </w:r>
      <w:r w:rsidRPr="00E961E4">
        <w:rPr>
          <w:rFonts w:asciiTheme="minorBidi" w:hAnsiTheme="minorBidi" w:cstheme="minorBidi"/>
          <w:sz w:val="18"/>
          <w:szCs w:val="18"/>
          <w:lang w:val="en-GB"/>
        </w:rPr>
        <w:t xml:space="preserve">). The Secretariat also administered </w:t>
      </w:r>
      <w:r w:rsidR="00E02779" w:rsidRPr="00E961E4">
        <w:rPr>
          <w:rFonts w:asciiTheme="minorBidi" w:hAnsiTheme="minorBidi" w:cstheme="minorBidi"/>
          <w:sz w:val="18"/>
          <w:szCs w:val="18"/>
          <w:lang w:val="en-GB"/>
        </w:rPr>
        <w:t>the registration of</w:t>
      </w:r>
      <w:r w:rsidRPr="00E961E4">
        <w:rPr>
          <w:rFonts w:asciiTheme="minorBidi" w:hAnsiTheme="minorBidi" w:cstheme="minorBidi"/>
          <w:sz w:val="18"/>
          <w:szCs w:val="18"/>
          <w:lang w:val="en-GB"/>
        </w:rPr>
        <w:t xml:space="preserve"> eighty-two nomination</w:t>
      </w:r>
      <w:r w:rsidR="004F7171" w:rsidRPr="00E961E4">
        <w:rPr>
          <w:rFonts w:asciiTheme="minorBidi" w:hAnsiTheme="minorBidi" w:cstheme="minorBidi"/>
          <w:sz w:val="18"/>
          <w:szCs w:val="18"/>
          <w:lang w:val="en-GB"/>
        </w:rPr>
        <w:t xml:space="preserve"> files submitted by the deadline of 31 March 2022</w:t>
      </w:r>
      <w:r w:rsidRPr="00E961E4">
        <w:rPr>
          <w:rFonts w:asciiTheme="minorBidi" w:hAnsiTheme="minorBidi" w:cstheme="minorBidi"/>
          <w:sz w:val="18"/>
          <w:szCs w:val="18"/>
          <w:lang w:val="en-GB"/>
        </w:rPr>
        <w:t xml:space="preserve"> files</w:t>
      </w:r>
      <w:r w:rsidR="004F7171" w:rsidRPr="00E961E4">
        <w:rPr>
          <w:rFonts w:asciiTheme="minorBidi" w:hAnsiTheme="minorBidi" w:cstheme="minorBidi"/>
          <w:sz w:val="18"/>
          <w:szCs w:val="18"/>
          <w:lang w:val="en-GB"/>
        </w:rPr>
        <w:t xml:space="preserve"> and</w:t>
      </w:r>
      <w:r w:rsidR="00E02779" w:rsidRPr="00E961E4">
        <w:rPr>
          <w:rFonts w:asciiTheme="minorBidi" w:hAnsiTheme="minorBidi" w:cstheme="minorBidi"/>
          <w:sz w:val="18"/>
          <w:szCs w:val="18"/>
          <w:lang w:val="en-GB"/>
        </w:rPr>
        <w:t xml:space="preserve"> verified the</w:t>
      </w:r>
      <w:r w:rsidR="004F7171" w:rsidRPr="00E961E4">
        <w:rPr>
          <w:rFonts w:asciiTheme="minorBidi" w:hAnsiTheme="minorBidi" w:cstheme="minorBidi"/>
          <w:sz w:val="18"/>
          <w:szCs w:val="18"/>
          <w:lang w:val="en-GB"/>
        </w:rPr>
        <w:t xml:space="preserve"> </w:t>
      </w:r>
      <w:r w:rsidR="00E02779" w:rsidRPr="00E961E4">
        <w:rPr>
          <w:rFonts w:asciiTheme="minorBidi" w:hAnsiTheme="minorBidi" w:cstheme="minorBidi"/>
          <w:sz w:val="18"/>
          <w:szCs w:val="18"/>
          <w:lang w:val="en-GB"/>
        </w:rPr>
        <w:t xml:space="preserve">technical completeness of </w:t>
      </w:r>
      <w:r w:rsidR="004F7171" w:rsidRPr="00E961E4">
        <w:rPr>
          <w:rFonts w:asciiTheme="minorBidi" w:hAnsiTheme="minorBidi" w:cstheme="minorBidi"/>
          <w:sz w:val="18"/>
          <w:szCs w:val="18"/>
          <w:lang w:val="en-GB"/>
        </w:rPr>
        <w:t>sixty files included under de 2023 cycle</w:t>
      </w:r>
      <w:r w:rsidRPr="00E961E4">
        <w:rPr>
          <w:rFonts w:asciiTheme="minorBidi" w:hAnsiTheme="minorBidi" w:cstheme="minorBidi"/>
          <w:sz w:val="18"/>
          <w:szCs w:val="18"/>
          <w:lang w:val="en-GB"/>
        </w:rPr>
        <w:t>.</w:t>
      </w:r>
    </w:p>
  </w:footnote>
  <w:footnote w:id="7">
    <w:p w14:paraId="772F4664" w14:textId="6F4B02A2" w:rsidR="005176FE" w:rsidRPr="00E961E4" w:rsidRDefault="005176FE">
      <w:pPr>
        <w:pStyle w:val="FootnoteText"/>
        <w:tabs>
          <w:tab w:val="left" w:pos="567"/>
        </w:tabs>
        <w:spacing w:after="60"/>
        <w:contextualSpacing/>
        <w:jc w:val="both"/>
        <w:rPr>
          <w:rFonts w:asciiTheme="minorBidi" w:hAnsiTheme="minorBidi" w:cstheme="minorBidi"/>
          <w:sz w:val="18"/>
          <w:szCs w:val="18"/>
          <w:lang w:val="en-GB"/>
        </w:rPr>
      </w:pPr>
      <w:r w:rsidRPr="00E961E4">
        <w:rPr>
          <w:rStyle w:val="FootnoteReference"/>
          <w:rFonts w:asciiTheme="minorBidi" w:hAnsiTheme="minorBidi" w:cstheme="minorBidi"/>
          <w:sz w:val="18"/>
          <w:szCs w:val="18"/>
          <w:lang w:val="en-GB"/>
        </w:rPr>
        <w:footnoteRef/>
      </w:r>
      <w:r w:rsidRPr="00E961E4">
        <w:rPr>
          <w:rFonts w:asciiTheme="minorBidi" w:hAnsiTheme="minorBidi" w:cstheme="minorBidi"/>
          <w:sz w:val="18"/>
          <w:szCs w:val="18"/>
          <w:lang w:val="en-GB"/>
        </w:rPr>
        <w:t>.</w:t>
      </w:r>
      <w:r w:rsidRPr="00E961E4">
        <w:rPr>
          <w:rFonts w:asciiTheme="minorBidi" w:hAnsiTheme="minorBidi" w:cstheme="minorBidi"/>
          <w:sz w:val="18"/>
          <w:szCs w:val="18"/>
          <w:lang w:val="en-GB"/>
        </w:rPr>
        <w:tab/>
        <w:t xml:space="preserve">Meetings </w:t>
      </w:r>
      <w:r w:rsidR="00F508D7" w:rsidRPr="00E961E4">
        <w:rPr>
          <w:rFonts w:asciiTheme="minorBidi" w:hAnsiTheme="minorBidi" w:cstheme="minorBidi"/>
          <w:sz w:val="18"/>
          <w:szCs w:val="18"/>
          <w:lang w:val="en-GB"/>
        </w:rPr>
        <w:t xml:space="preserve">and interventions between </w:t>
      </w:r>
      <w:r w:rsidR="00A54E21" w:rsidRPr="00E961E4">
        <w:rPr>
          <w:rFonts w:asciiTheme="minorBidi" w:hAnsiTheme="minorBidi" w:cstheme="minorBidi"/>
          <w:sz w:val="18"/>
          <w:szCs w:val="18"/>
          <w:lang w:val="en-GB"/>
        </w:rPr>
        <w:t xml:space="preserve">January </w:t>
      </w:r>
      <w:r w:rsidR="005E0F8D" w:rsidRPr="00E961E4">
        <w:rPr>
          <w:rFonts w:asciiTheme="minorBidi" w:hAnsiTheme="minorBidi" w:cstheme="minorBidi"/>
          <w:sz w:val="18"/>
          <w:szCs w:val="18"/>
          <w:lang w:val="en-GB"/>
        </w:rPr>
        <w:t>and</w:t>
      </w:r>
      <w:r w:rsidR="00A54E21" w:rsidRPr="00E961E4">
        <w:rPr>
          <w:rFonts w:asciiTheme="minorBidi" w:hAnsiTheme="minorBidi" w:cstheme="minorBidi"/>
          <w:sz w:val="18"/>
          <w:szCs w:val="18"/>
          <w:lang w:val="en-GB"/>
        </w:rPr>
        <w:t xml:space="preserve"> July</w:t>
      </w:r>
      <w:r w:rsidR="00F508D7" w:rsidRPr="00E961E4">
        <w:rPr>
          <w:rFonts w:asciiTheme="minorBidi" w:hAnsiTheme="minorBidi" w:cstheme="minorBidi"/>
          <w:sz w:val="18"/>
          <w:szCs w:val="18"/>
          <w:lang w:val="en-GB"/>
        </w:rPr>
        <w:t xml:space="preserve"> 2022</w:t>
      </w:r>
      <w:r w:rsidRPr="00E961E4">
        <w:rPr>
          <w:rFonts w:asciiTheme="minorBidi" w:hAnsiTheme="minorBidi" w:cstheme="minorBidi"/>
          <w:sz w:val="18"/>
          <w:szCs w:val="18"/>
          <w:lang w:val="en-GB"/>
        </w:rPr>
        <w:t>:</w:t>
      </w:r>
    </w:p>
    <w:p w14:paraId="6BAC570C" w14:textId="66365C78" w:rsidR="005176FE" w:rsidRPr="00E961E4" w:rsidRDefault="00176762">
      <w:pPr>
        <w:pStyle w:val="FootnoteText"/>
        <w:spacing w:after="60"/>
        <w:ind w:left="709"/>
        <w:contextualSpacing/>
        <w:jc w:val="both"/>
        <w:rPr>
          <w:rFonts w:asciiTheme="minorBidi" w:hAnsiTheme="minorBidi" w:cstheme="minorBidi"/>
          <w:sz w:val="18"/>
          <w:szCs w:val="18"/>
          <w:lang w:val="en-GB"/>
        </w:rPr>
      </w:pPr>
      <w:r w:rsidRPr="00E961E4">
        <w:rPr>
          <w:rFonts w:asciiTheme="minorBidi" w:hAnsiTheme="minorBidi" w:cstheme="minorBidi"/>
          <w:sz w:val="18"/>
          <w:szCs w:val="18"/>
          <w:lang w:val="en-GB"/>
        </w:rPr>
        <w:t>Four</w:t>
      </w:r>
      <w:r w:rsidR="005176FE" w:rsidRPr="00E961E4">
        <w:rPr>
          <w:rFonts w:asciiTheme="minorBidi" w:hAnsiTheme="minorBidi" w:cstheme="minorBidi"/>
          <w:sz w:val="18"/>
          <w:szCs w:val="18"/>
          <w:lang w:val="en-GB"/>
        </w:rPr>
        <w:t xml:space="preserve"> meetings of the 1</w:t>
      </w:r>
      <w:r w:rsidR="001436A2" w:rsidRPr="00E961E4">
        <w:rPr>
          <w:rFonts w:asciiTheme="minorBidi" w:hAnsiTheme="minorBidi" w:cstheme="minorBidi"/>
          <w:sz w:val="18"/>
          <w:szCs w:val="18"/>
          <w:lang w:val="en-GB"/>
        </w:rPr>
        <w:t>7</w:t>
      </w:r>
      <w:r w:rsidR="005176FE" w:rsidRPr="00E961E4">
        <w:rPr>
          <w:rFonts w:asciiTheme="minorBidi" w:hAnsiTheme="minorBidi" w:cstheme="minorBidi"/>
          <w:sz w:val="18"/>
          <w:szCs w:val="18"/>
          <w:lang w:val="en-GB"/>
        </w:rPr>
        <w:t>.COM Bureau;</w:t>
      </w:r>
    </w:p>
    <w:p w14:paraId="4ED1EE07" w14:textId="147F8D97" w:rsidR="005176FE" w:rsidRPr="00E961E4" w:rsidRDefault="00176762">
      <w:pPr>
        <w:pStyle w:val="FootnoteText"/>
        <w:spacing w:after="60"/>
        <w:ind w:left="709"/>
        <w:contextualSpacing/>
        <w:jc w:val="both"/>
        <w:rPr>
          <w:rFonts w:asciiTheme="minorBidi" w:hAnsiTheme="minorBidi" w:cstheme="minorBidi"/>
          <w:sz w:val="18"/>
          <w:szCs w:val="18"/>
          <w:lang w:val="en-GB"/>
        </w:rPr>
      </w:pPr>
      <w:r w:rsidRPr="00E961E4">
        <w:rPr>
          <w:rFonts w:asciiTheme="minorBidi" w:hAnsiTheme="minorBidi" w:cstheme="minorBidi"/>
          <w:sz w:val="18"/>
          <w:szCs w:val="18"/>
          <w:lang w:val="en-GB"/>
        </w:rPr>
        <w:t>Two</w:t>
      </w:r>
      <w:r w:rsidR="005176FE" w:rsidRPr="00E961E4">
        <w:rPr>
          <w:rFonts w:asciiTheme="minorBidi" w:hAnsiTheme="minorBidi" w:cstheme="minorBidi"/>
          <w:sz w:val="18"/>
          <w:szCs w:val="18"/>
          <w:lang w:val="en-GB"/>
        </w:rPr>
        <w:t xml:space="preserve"> meetings of the Evaluation Body for the 202</w:t>
      </w:r>
      <w:r w:rsidR="001436A2" w:rsidRPr="00E961E4">
        <w:rPr>
          <w:rFonts w:asciiTheme="minorBidi" w:hAnsiTheme="minorBidi" w:cstheme="minorBidi"/>
          <w:sz w:val="18"/>
          <w:szCs w:val="18"/>
          <w:lang w:val="en-GB"/>
        </w:rPr>
        <w:t>3</w:t>
      </w:r>
      <w:r w:rsidR="005176FE" w:rsidRPr="00E961E4">
        <w:rPr>
          <w:rFonts w:asciiTheme="minorBidi" w:hAnsiTheme="minorBidi" w:cstheme="minorBidi"/>
          <w:sz w:val="18"/>
          <w:szCs w:val="18"/>
          <w:lang w:val="en-GB"/>
        </w:rPr>
        <w:t xml:space="preserve"> cycle;</w:t>
      </w:r>
    </w:p>
    <w:p w14:paraId="66A5654C" w14:textId="2F7D77AD" w:rsidR="005176FE" w:rsidRPr="00E961E4" w:rsidRDefault="00B47BC5">
      <w:pPr>
        <w:pStyle w:val="FootnoteText"/>
        <w:spacing w:after="60"/>
        <w:ind w:left="709"/>
        <w:contextualSpacing/>
        <w:jc w:val="both"/>
        <w:rPr>
          <w:rFonts w:asciiTheme="minorBidi" w:hAnsiTheme="minorBidi" w:cstheme="minorBidi"/>
          <w:sz w:val="18"/>
          <w:szCs w:val="18"/>
          <w:lang w:val="en-GB"/>
        </w:rPr>
      </w:pPr>
      <w:r w:rsidRPr="00E961E4">
        <w:rPr>
          <w:rFonts w:asciiTheme="minorBidi" w:hAnsiTheme="minorBidi" w:cstheme="minorBidi"/>
          <w:sz w:val="18"/>
          <w:szCs w:val="18"/>
          <w:lang w:val="en-GB"/>
        </w:rPr>
        <w:t>Fifth</w:t>
      </w:r>
      <w:r w:rsidR="005176FE" w:rsidRPr="00E961E4">
        <w:rPr>
          <w:rFonts w:asciiTheme="minorBidi" w:hAnsiTheme="minorBidi" w:cstheme="minorBidi"/>
          <w:sz w:val="18"/>
          <w:szCs w:val="18"/>
          <w:lang w:val="en-GB"/>
        </w:rPr>
        <w:t xml:space="preserve"> </w:t>
      </w:r>
      <w:r w:rsidR="001436A2" w:rsidRPr="00E961E4">
        <w:rPr>
          <w:rFonts w:asciiTheme="minorBidi" w:hAnsiTheme="minorBidi" w:cstheme="minorBidi"/>
          <w:sz w:val="18"/>
          <w:szCs w:val="18"/>
          <w:lang w:val="en-GB"/>
        </w:rPr>
        <w:t xml:space="preserve">extraordinary </w:t>
      </w:r>
      <w:r w:rsidR="005176FE" w:rsidRPr="00E961E4">
        <w:rPr>
          <w:rFonts w:asciiTheme="minorBidi" w:hAnsiTheme="minorBidi" w:cstheme="minorBidi"/>
          <w:sz w:val="18"/>
          <w:szCs w:val="18"/>
          <w:lang w:val="en-GB"/>
        </w:rPr>
        <w:t xml:space="preserve">session of the Intergovernmental Committee, Online, </w:t>
      </w:r>
      <w:r w:rsidR="001436A2" w:rsidRPr="00E961E4">
        <w:rPr>
          <w:rFonts w:asciiTheme="minorBidi" w:hAnsiTheme="minorBidi" w:cstheme="minorBidi"/>
          <w:sz w:val="18"/>
          <w:szCs w:val="18"/>
          <w:lang w:val="en-GB"/>
        </w:rPr>
        <w:t>1 July</w:t>
      </w:r>
      <w:r w:rsidR="005176FE" w:rsidRPr="00E961E4">
        <w:rPr>
          <w:rFonts w:asciiTheme="minorBidi" w:hAnsiTheme="minorBidi" w:cstheme="minorBidi"/>
          <w:sz w:val="18"/>
          <w:szCs w:val="18"/>
          <w:lang w:val="en-GB"/>
        </w:rPr>
        <w:t xml:space="preserve"> 202</w:t>
      </w:r>
      <w:r w:rsidR="001436A2" w:rsidRPr="00E961E4">
        <w:rPr>
          <w:rFonts w:asciiTheme="minorBidi" w:hAnsiTheme="minorBidi" w:cstheme="minorBidi"/>
          <w:sz w:val="18"/>
          <w:szCs w:val="18"/>
          <w:lang w:val="en-GB"/>
        </w:rPr>
        <w:t>3;</w:t>
      </w:r>
    </w:p>
    <w:p w14:paraId="411EEACF" w14:textId="7B64F013" w:rsidR="001436A2" w:rsidRPr="00E961E4" w:rsidRDefault="001436A2">
      <w:pPr>
        <w:pStyle w:val="FootnoteText"/>
        <w:spacing w:after="60"/>
        <w:ind w:left="709"/>
        <w:contextualSpacing/>
        <w:jc w:val="both"/>
        <w:rPr>
          <w:rFonts w:asciiTheme="minorBidi" w:hAnsiTheme="minorBidi" w:cstheme="minorBidi"/>
          <w:sz w:val="18"/>
          <w:szCs w:val="18"/>
          <w:lang w:val="en-GB"/>
        </w:rPr>
      </w:pPr>
      <w:r w:rsidRPr="00E961E4">
        <w:rPr>
          <w:rFonts w:asciiTheme="minorBidi" w:hAnsiTheme="minorBidi" w:cstheme="minorBidi"/>
          <w:sz w:val="18"/>
          <w:szCs w:val="18"/>
          <w:lang w:val="en-GB"/>
        </w:rPr>
        <w:t>Open-ended intergovernmental working group in the framework of the global reflection on the listing mechanisms – Part III (online);</w:t>
      </w:r>
    </w:p>
    <w:p w14:paraId="7532BBE0" w14:textId="2BB0FB96" w:rsidR="001436A2" w:rsidRPr="00E961E4" w:rsidRDefault="001436A2">
      <w:pPr>
        <w:pStyle w:val="FootnoteText"/>
        <w:spacing w:after="60"/>
        <w:ind w:left="709"/>
        <w:contextualSpacing/>
        <w:jc w:val="both"/>
        <w:rPr>
          <w:rFonts w:asciiTheme="minorBidi" w:hAnsiTheme="minorBidi" w:cstheme="minorBidi"/>
          <w:sz w:val="18"/>
          <w:szCs w:val="18"/>
          <w:lang w:val="en-US"/>
        </w:rPr>
      </w:pPr>
      <w:r w:rsidRPr="00E961E4">
        <w:rPr>
          <w:rFonts w:asciiTheme="minorBidi" w:hAnsiTheme="minorBidi" w:cstheme="minorBidi"/>
          <w:sz w:val="18"/>
          <w:szCs w:val="18"/>
          <w:lang w:val="en-US"/>
        </w:rPr>
        <w:t xml:space="preserve">Information and exchange meeting on proposed revisions to the Rules of Procedure of the General Assembly of States </w:t>
      </w:r>
      <w:proofErr w:type="gramStart"/>
      <w:r w:rsidRPr="00E961E4">
        <w:rPr>
          <w:rFonts w:asciiTheme="minorBidi" w:hAnsiTheme="minorBidi" w:cstheme="minorBidi"/>
          <w:sz w:val="18"/>
          <w:szCs w:val="18"/>
          <w:lang w:val="en-US"/>
        </w:rPr>
        <w:t>Parties;</w:t>
      </w:r>
      <w:proofErr w:type="gramEnd"/>
      <w:r w:rsidRPr="00E961E4">
        <w:rPr>
          <w:rFonts w:asciiTheme="minorBidi" w:hAnsiTheme="minorBidi" w:cstheme="minorBidi"/>
          <w:sz w:val="18"/>
          <w:szCs w:val="18"/>
          <w:lang w:val="en-US"/>
        </w:rPr>
        <w:t xml:space="preserve"> </w:t>
      </w:r>
    </w:p>
    <w:p w14:paraId="10886AEA" w14:textId="257910D1" w:rsidR="00A54E21" w:rsidRPr="00E961E4" w:rsidRDefault="00755E21">
      <w:pPr>
        <w:pStyle w:val="FootnoteText"/>
        <w:spacing w:after="60"/>
        <w:ind w:left="709"/>
        <w:contextualSpacing/>
        <w:jc w:val="both"/>
        <w:rPr>
          <w:rFonts w:asciiTheme="minorBidi" w:hAnsiTheme="minorBidi" w:cstheme="minorBidi"/>
          <w:sz w:val="18"/>
          <w:szCs w:val="18"/>
          <w:lang w:val="en-GB"/>
        </w:rPr>
      </w:pPr>
      <w:r w:rsidRPr="00E961E4">
        <w:rPr>
          <w:rFonts w:asciiTheme="minorBidi" w:hAnsiTheme="minorBidi" w:cstheme="minorBidi"/>
          <w:sz w:val="18"/>
          <w:szCs w:val="18"/>
          <w:lang w:val="en-GB"/>
        </w:rPr>
        <w:t>Ninth</w:t>
      </w:r>
      <w:r w:rsidR="00A54E21" w:rsidRPr="00E961E4">
        <w:rPr>
          <w:rFonts w:asciiTheme="minorBidi" w:hAnsiTheme="minorBidi" w:cstheme="minorBidi"/>
          <w:sz w:val="18"/>
          <w:szCs w:val="18"/>
          <w:lang w:val="en-GB"/>
        </w:rPr>
        <w:t xml:space="preserve"> session of the General Assembly of the States Parties to the Convention, UNESCO headquarters, 5 to 7 July 2022;</w:t>
      </w:r>
      <w:r w:rsidR="001E5E8F" w:rsidRPr="00E961E4">
        <w:rPr>
          <w:rFonts w:asciiTheme="minorBidi" w:hAnsiTheme="minorBidi" w:cstheme="minorBidi"/>
          <w:sz w:val="18"/>
          <w:szCs w:val="18"/>
          <w:lang w:val="en-GB"/>
        </w:rPr>
        <w:t xml:space="preserve"> and </w:t>
      </w:r>
    </w:p>
    <w:p w14:paraId="7784459D" w14:textId="068A973D" w:rsidR="005176FE" w:rsidRPr="00E961E4" w:rsidRDefault="00176762">
      <w:pPr>
        <w:pStyle w:val="FootnoteText"/>
        <w:spacing w:after="60"/>
        <w:ind w:left="709"/>
        <w:contextualSpacing/>
        <w:jc w:val="both"/>
        <w:rPr>
          <w:rFonts w:asciiTheme="minorBidi" w:hAnsiTheme="minorBidi" w:cstheme="minorBidi"/>
          <w:sz w:val="18"/>
          <w:szCs w:val="18"/>
          <w:lang w:val="en-US"/>
        </w:rPr>
      </w:pPr>
      <w:r w:rsidRPr="00E961E4">
        <w:rPr>
          <w:rFonts w:asciiTheme="minorBidi" w:hAnsiTheme="minorBidi" w:cstheme="minorBidi"/>
          <w:sz w:val="18"/>
          <w:szCs w:val="18"/>
          <w:lang w:val="en-US"/>
        </w:rPr>
        <w:t>Two</w:t>
      </w:r>
      <w:r w:rsidR="00525FAC" w:rsidRPr="00E961E4">
        <w:rPr>
          <w:rFonts w:asciiTheme="minorBidi" w:hAnsiTheme="minorBidi" w:cstheme="minorBidi"/>
          <w:sz w:val="18"/>
          <w:szCs w:val="18"/>
          <w:lang w:val="en-US"/>
        </w:rPr>
        <w:t xml:space="preserve"> </w:t>
      </w:r>
      <w:r w:rsidR="001436A2" w:rsidRPr="00E961E4">
        <w:rPr>
          <w:rFonts w:asciiTheme="minorBidi" w:hAnsiTheme="minorBidi" w:cstheme="minorBidi"/>
          <w:sz w:val="18"/>
          <w:szCs w:val="18"/>
          <w:lang w:val="en-US"/>
        </w:rPr>
        <w:t xml:space="preserve">electronic </w:t>
      </w:r>
      <w:r w:rsidRPr="00E961E4">
        <w:rPr>
          <w:rFonts w:asciiTheme="minorBidi" w:hAnsiTheme="minorBidi" w:cstheme="minorBidi"/>
          <w:sz w:val="18"/>
          <w:szCs w:val="18"/>
          <w:lang w:val="en-US"/>
        </w:rPr>
        <w:t>exchanges</w:t>
      </w:r>
      <w:r w:rsidR="001436A2" w:rsidRPr="00E961E4">
        <w:rPr>
          <w:rFonts w:asciiTheme="minorBidi" w:hAnsiTheme="minorBidi" w:cstheme="minorBidi"/>
          <w:sz w:val="18"/>
          <w:szCs w:val="18"/>
          <w:lang w:val="en-US"/>
        </w:rPr>
        <w:t xml:space="preserve"> of the Members of the Intergovernmental Committee for the Safeguarding of the Intangible Cultural Heritage</w:t>
      </w:r>
      <w:r w:rsidR="00904D33" w:rsidRPr="00E961E4">
        <w:rPr>
          <w:rFonts w:asciiTheme="minorBidi" w:hAnsiTheme="minorBidi" w:cstheme="minorBidi"/>
          <w:sz w:val="18"/>
          <w:szCs w:val="18"/>
          <w:lang w:val="en-US"/>
        </w:rPr>
        <w:t>.</w:t>
      </w:r>
    </w:p>
    <w:p w14:paraId="3D5C8FAA" w14:textId="34B68D91" w:rsidR="00DE2977" w:rsidRPr="00E961E4" w:rsidRDefault="00DE2977">
      <w:pPr>
        <w:pStyle w:val="FootnoteText"/>
        <w:spacing w:after="60"/>
        <w:ind w:left="709"/>
        <w:contextualSpacing/>
        <w:jc w:val="both"/>
        <w:rPr>
          <w:rFonts w:asciiTheme="minorBidi" w:hAnsiTheme="minorBidi" w:cstheme="minorBidi"/>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C85A040"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6221A">
      <w:rPr>
        <w:rFonts w:ascii="Arial" w:hAnsi="Arial" w:cs="Arial"/>
        <w:sz w:val="20"/>
        <w:szCs w:val="20"/>
        <w:lang w:val="en-GB"/>
      </w:rPr>
      <w:t>2</w:t>
    </w:r>
    <w:r w:rsidR="00CB0542">
      <w:rPr>
        <w:rFonts w:ascii="Arial" w:hAnsi="Arial" w:cs="Arial"/>
        <w:sz w:val="20"/>
        <w:szCs w:val="20"/>
        <w:lang w:val="en-GB"/>
      </w:rPr>
      <w:t>/1</w:t>
    </w:r>
    <w:r w:rsidR="0026221A">
      <w:rPr>
        <w:rFonts w:ascii="Arial" w:hAnsi="Arial" w:cs="Arial"/>
        <w:sz w:val="20"/>
        <w:szCs w:val="20"/>
        <w:lang w:val="en-GB"/>
      </w:rPr>
      <w:t>7</w:t>
    </w:r>
    <w:r w:rsidR="00EC6F8D">
      <w:rPr>
        <w:rFonts w:ascii="Arial" w:hAnsi="Arial" w:cs="Arial"/>
        <w:sz w:val="20"/>
        <w:szCs w:val="20"/>
        <w:lang w:val="en-GB"/>
      </w:rPr>
      <w:t>.COM</w:t>
    </w:r>
    <w:r w:rsidR="00D95C4C" w:rsidRPr="00C23A97">
      <w:rPr>
        <w:rFonts w:ascii="Arial" w:hAnsi="Arial" w:cs="Arial"/>
        <w:sz w:val="20"/>
        <w:szCs w:val="20"/>
        <w:lang w:val="en-GB"/>
      </w:rPr>
      <w:t>/</w:t>
    </w:r>
    <w:r w:rsidR="00142472">
      <w:rPr>
        <w:rFonts w:ascii="Arial" w:hAnsi="Arial" w:cs="Arial"/>
        <w:sz w:val="20"/>
        <w:szCs w:val="20"/>
        <w:lang w:val="en-GB"/>
      </w:rPr>
      <w:t>5</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BCF4FEB"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6221A">
      <w:rPr>
        <w:rFonts w:ascii="Arial" w:hAnsi="Arial" w:cs="Arial"/>
        <w:sz w:val="20"/>
        <w:szCs w:val="20"/>
        <w:lang w:val="en-GB"/>
      </w:rPr>
      <w:t>2</w:t>
    </w:r>
    <w:r w:rsidR="0053318C">
      <w:rPr>
        <w:rFonts w:ascii="Arial" w:hAnsi="Arial" w:cs="Arial"/>
        <w:sz w:val="20"/>
        <w:szCs w:val="20"/>
        <w:lang w:val="en-GB"/>
      </w:rPr>
      <w:t>/1</w:t>
    </w:r>
    <w:r w:rsidR="0026221A">
      <w:rPr>
        <w:rFonts w:ascii="Arial" w:hAnsi="Arial" w:cs="Arial"/>
        <w:sz w:val="20"/>
        <w:szCs w:val="20"/>
        <w:lang w:val="en-GB"/>
      </w:rPr>
      <w:t>7</w:t>
    </w:r>
    <w:r w:rsidR="00EC6F8D">
      <w:rPr>
        <w:rFonts w:ascii="Arial" w:hAnsi="Arial" w:cs="Arial"/>
        <w:sz w:val="20"/>
        <w:szCs w:val="20"/>
        <w:lang w:val="en-GB"/>
      </w:rPr>
      <w:t>.COM</w:t>
    </w:r>
    <w:r w:rsidR="004A34A0" w:rsidRPr="0063300C">
      <w:rPr>
        <w:rFonts w:ascii="Arial" w:hAnsi="Arial" w:cs="Arial"/>
        <w:sz w:val="20"/>
        <w:szCs w:val="20"/>
        <w:lang w:val="en-GB"/>
      </w:rPr>
      <w:t>/</w:t>
    </w:r>
    <w:r w:rsidR="00142472">
      <w:rPr>
        <w:rFonts w:ascii="Arial" w:hAnsi="Arial" w:cs="Arial"/>
        <w:sz w:val="20"/>
        <w:szCs w:val="20"/>
        <w:lang w:val="en-GB"/>
      </w:rPr>
      <w:t>5</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099535AA"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86BB3">
      <w:rPr>
        <w:rFonts w:ascii="Arial" w:hAnsi="Arial" w:cs="Arial"/>
        <w:b/>
        <w:sz w:val="44"/>
        <w:szCs w:val="44"/>
        <w:lang w:val="pt-PT"/>
      </w:rPr>
      <w:t>7</w:t>
    </w:r>
    <w:r w:rsidR="00EC6F8D" w:rsidRPr="00D7105A">
      <w:rPr>
        <w:rFonts w:ascii="Arial" w:hAnsi="Arial" w:cs="Arial"/>
        <w:b/>
        <w:sz w:val="44"/>
        <w:szCs w:val="44"/>
        <w:lang w:val="pt-PT"/>
      </w:rPr>
      <w:t xml:space="preserve"> COM</w:t>
    </w:r>
  </w:p>
  <w:p w14:paraId="306484B8" w14:textId="552517FD"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6221A">
      <w:rPr>
        <w:rFonts w:ascii="Arial" w:hAnsi="Arial" w:cs="Arial"/>
        <w:b/>
        <w:sz w:val="22"/>
        <w:szCs w:val="22"/>
        <w:lang w:val="pt-PT"/>
      </w:rPr>
      <w:t>2</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6221A">
      <w:rPr>
        <w:rFonts w:ascii="Arial" w:hAnsi="Arial" w:cs="Arial"/>
        <w:b/>
        <w:sz w:val="22"/>
        <w:szCs w:val="22"/>
        <w:lang w:val="pt-PT"/>
      </w:rPr>
      <w:t>7</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4F07B6">
      <w:rPr>
        <w:rFonts w:ascii="Arial" w:hAnsi="Arial" w:cs="Arial"/>
        <w:b/>
        <w:sz w:val="22"/>
        <w:szCs w:val="22"/>
        <w:lang w:val="pt-PT"/>
      </w:rPr>
      <w:t>5</w:t>
    </w:r>
  </w:p>
  <w:p w14:paraId="1B4446C3" w14:textId="0D83FE66"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4D553B">
      <w:rPr>
        <w:rFonts w:ascii="Arial" w:hAnsi="Arial" w:cs="Arial"/>
        <w:b/>
        <w:sz w:val="22"/>
        <w:szCs w:val="22"/>
        <w:lang w:val="pt-BR"/>
      </w:rPr>
      <w:t>31 Octobe</w:t>
    </w:r>
    <w:r w:rsidR="00D10734">
      <w:rPr>
        <w:rFonts w:ascii="Arial" w:hAnsi="Arial" w:cs="Arial"/>
        <w:b/>
        <w:sz w:val="22"/>
        <w:szCs w:val="22"/>
        <w:lang w:val="pt-BR"/>
      </w:rPr>
      <w:t>r</w:t>
    </w:r>
    <w:r w:rsidR="002B1E5C" w:rsidRPr="00402D9D">
      <w:rPr>
        <w:rFonts w:ascii="Arial" w:hAnsi="Arial" w:cs="Arial"/>
        <w:b/>
        <w:sz w:val="22"/>
        <w:szCs w:val="22"/>
        <w:lang w:val="pt-BR"/>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6221A">
      <w:rPr>
        <w:rFonts w:ascii="Arial" w:hAnsi="Arial" w:cs="Arial"/>
        <w:b/>
        <w:sz w:val="22"/>
        <w:szCs w:val="22"/>
        <w:lang w:val="pt-PT"/>
      </w:rPr>
      <w:t>2</w:t>
    </w:r>
  </w:p>
  <w:p w14:paraId="255B57FF" w14:textId="3A2898E2"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2B1E5C">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DB7CD010"/>
    <w:lvl w:ilvl="0" w:tplc="930A8D98">
      <w:start w:val="1"/>
      <w:numFmt w:val="decimal"/>
      <w:lvlText w:val="%1."/>
      <w:lvlJc w:val="left"/>
      <w:pPr>
        <w:ind w:left="6300" w:hanging="360"/>
      </w:pPr>
      <w:rPr>
        <w:rFonts w:hint="default"/>
        <w:b w:val="0"/>
        <w:bCs w:val="0"/>
        <w:lang w:val="en-US"/>
      </w:rPr>
    </w:lvl>
    <w:lvl w:ilvl="1" w:tplc="04090019">
      <w:start w:val="1"/>
      <w:numFmt w:val="lowerLetter"/>
      <w:lvlText w:val="%2."/>
      <w:lvlJc w:val="left"/>
      <w:pPr>
        <w:ind w:left="1440" w:hanging="360"/>
      </w:pPr>
    </w:lvl>
    <w:lvl w:ilvl="2" w:tplc="59DCAFA2">
      <w:start w:val="9"/>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1772E4C"/>
    <w:multiLevelType w:val="multilevel"/>
    <w:tmpl w:val="901CF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0516A"/>
    <w:multiLevelType w:val="multilevel"/>
    <w:tmpl w:val="117E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196BF0"/>
    <w:multiLevelType w:val="hybridMultilevel"/>
    <w:tmpl w:val="925EBC0E"/>
    <w:lvl w:ilvl="0" w:tplc="14CC53B8">
      <w:start w:val="1"/>
      <w:numFmt w:val="decimal"/>
      <w:pStyle w:val="1GAPara"/>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07BFE"/>
    <w:multiLevelType w:val="hybridMultilevel"/>
    <w:tmpl w:val="E6A6F74E"/>
    <w:lvl w:ilvl="0" w:tplc="04BA9A64">
      <w:start w:val="1"/>
      <w:numFmt w:val="decimal"/>
      <w:pStyle w:val="COMPara"/>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5B0026"/>
    <w:multiLevelType w:val="hybridMultilevel"/>
    <w:tmpl w:val="D21E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32084"/>
    <w:multiLevelType w:val="multilevel"/>
    <w:tmpl w:val="214A7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
  </w:num>
  <w:num w:numId="2">
    <w:abstractNumId w:val="5"/>
  </w:num>
  <w:num w:numId="3">
    <w:abstractNumId w:val="6"/>
  </w:num>
  <w:num w:numId="4">
    <w:abstractNumId w:val="7"/>
  </w:num>
  <w:num w:numId="5">
    <w:abstractNumId w:val="12"/>
  </w:num>
  <w:num w:numId="6">
    <w:abstractNumId w:val="0"/>
  </w:num>
  <w:num w:numId="7">
    <w:abstractNumId w:val="11"/>
  </w:num>
  <w:num w:numId="8">
    <w:abstractNumId w:val="8"/>
  </w:num>
  <w:num w:numId="9">
    <w:abstractNumId w:val="4"/>
  </w:num>
  <w:num w:numId="10">
    <w:abstractNumId w:val="10"/>
  </w:num>
  <w:num w:numId="11">
    <w:abstractNumId w:val="2"/>
  </w:num>
  <w:num w:numId="12">
    <w:abstractNumId w:val="5"/>
  </w:num>
  <w:num w:numId="13">
    <w:abstractNumId w:val="5"/>
  </w:num>
  <w:num w:numId="14">
    <w:abstractNumId w:val="5"/>
  </w:num>
  <w:num w:numId="15">
    <w:abstractNumId w:val="3"/>
  </w:num>
  <w:num w:numId="16">
    <w:abstractNumId w:val="6"/>
  </w:num>
  <w:num w:numId="17">
    <w:abstractNumId w:val="5"/>
  </w:num>
  <w:num w:numId="18">
    <w:abstractNumId w:val="5"/>
  </w:num>
  <w:num w:numId="19">
    <w:abstractNumId w:val="5"/>
  </w:num>
  <w:num w:numId="20">
    <w:abstractNumId w:val="6"/>
    <w:lvlOverride w:ilvl="0">
      <w:startOverride w:val="1"/>
    </w:lvlOverride>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3F83"/>
    <w:rsid w:val="000048ED"/>
    <w:rsid w:val="0000600F"/>
    <w:rsid w:val="00006BDA"/>
    <w:rsid w:val="00007F48"/>
    <w:rsid w:val="0001095A"/>
    <w:rsid w:val="00011210"/>
    <w:rsid w:val="00014456"/>
    <w:rsid w:val="00014915"/>
    <w:rsid w:val="000153F5"/>
    <w:rsid w:val="00015749"/>
    <w:rsid w:val="00015DCF"/>
    <w:rsid w:val="00023A48"/>
    <w:rsid w:val="00033353"/>
    <w:rsid w:val="000412FA"/>
    <w:rsid w:val="00041A66"/>
    <w:rsid w:val="00042D88"/>
    <w:rsid w:val="000436A4"/>
    <w:rsid w:val="000452BC"/>
    <w:rsid w:val="00045BE1"/>
    <w:rsid w:val="000470E4"/>
    <w:rsid w:val="0005176E"/>
    <w:rsid w:val="0005273A"/>
    <w:rsid w:val="000603E1"/>
    <w:rsid w:val="00065C38"/>
    <w:rsid w:val="00066875"/>
    <w:rsid w:val="00067C0C"/>
    <w:rsid w:val="000728B7"/>
    <w:rsid w:val="00073479"/>
    <w:rsid w:val="000752CF"/>
    <w:rsid w:val="000765F7"/>
    <w:rsid w:val="0007725F"/>
    <w:rsid w:val="000778A9"/>
    <w:rsid w:val="00077AB7"/>
    <w:rsid w:val="00080204"/>
    <w:rsid w:val="00081329"/>
    <w:rsid w:val="00081CD8"/>
    <w:rsid w:val="0008324E"/>
    <w:rsid w:val="00090C0A"/>
    <w:rsid w:val="000926C7"/>
    <w:rsid w:val="000A0072"/>
    <w:rsid w:val="000A42E4"/>
    <w:rsid w:val="000A70C1"/>
    <w:rsid w:val="000A72FE"/>
    <w:rsid w:val="000A7F0E"/>
    <w:rsid w:val="000B01C6"/>
    <w:rsid w:val="000B1C8F"/>
    <w:rsid w:val="000B5FED"/>
    <w:rsid w:val="000B6065"/>
    <w:rsid w:val="000B7DD7"/>
    <w:rsid w:val="000C0D61"/>
    <w:rsid w:val="000D50B5"/>
    <w:rsid w:val="000D527A"/>
    <w:rsid w:val="000D67B7"/>
    <w:rsid w:val="000D7BAE"/>
    <w:rsid w:val="000E22F3"/>
    <w:rsid w:val="000E288F"/>
    <w:rsid w:val="000F3A3F"/>
    <w:rsid w:val="001015A5"/>
    <w:rsid w:val="00102557"/>
    <w:rsid w:val="00102D03"/>
    <w:rsid w:val="00111963"/>
    <w:rsid w:val="00112E2B"/>
    <w:rsid w:val="001210C8"/>
    <w:rsid w:val="00122C53"/>
    <w:rsid w:val="00122E62"/>
    <w:rsid w:val="00124245"/>
    <w:rsid w:val="001278A8"/>
    <w:rsid w:val="00135A98"/>
    <w:rsid w:val="00140301"/>
    <w:rsid w:val="00141BC0"/>
    <w:rsid w:val="00142472"/>
    <w:rsid w:val="001436A2"/>
    <w:rsid w:val="00145077"/>
    <w:rsid w:val="00147BB6"/>
    <w:rsid w:val="00155CA7"/>
    <w:rsid w:val="00156B23"/>
    <w:rsid w:val="00157DCD"/>
    <w:rsid w:val="00161901"/>
    <w:rsid w:val="00164B03"/>
    <w:rsid w:val="00164D56"/>
    <w:rsid w:val="00167B10"/>
    <w:rsid w:val="0017063D"/>
    <w:rsid w:val="0017207F"/>
    <w:rsid w:val="0017402F"/>
    <w:rsid w:val="001751E5"/>
    <w:rsid w:val="00176158"/>
    <w:rsid w:val="00176762"/>
    <w:rsid w:val="001825E9"/>
    <w:rsid w:val="00186609"/>
    <w:rsid w:val="00186A17"/>
    <w:rsid w:val="00190205"/>
    <w:rsid w:val="00190A30"/>
    <w:rsid w:val="00193E84"/>
    <w:rsid w:val="00196C1B"/>
    <w:rsid w:val="001A23A8"/>
    <w:rsid w:val="001A2E9A"/>
    <w:rsid w:val="001A659B"/>
    <w:rsid w:val="001A75D6"/>
    <w:rsid w:val="001A7A98"/>
    <w:rsid w:val="001B0F73"/>
    <w:rsid w:val="001B1701"/>
    <w:rsid w:val="001B4B42"/>
    <w:rsid w:val="001C15DC"/>
    <w:rsid w:val="001C2DB7"/>
    <w:rsid w:val="001C44BF"/>
    <w:rsid w:val="001C59F5"/>
    <w:rsid w:val="001C5A46"/>
    <w:rsid w:val="001D00FD"/>
    <w:rsid w:val="001D0625"/>
    <w:rsid w:val="001D14FE"/>
    <w:rsid w:val="001D1A5C"/>
    <w:rsid w:val="001D1F07"/>
    <w:rsid w:val="001D545A"/>
    <w:rsid w:val="001D5C04"/>
    <w:rsid w:val="001E00A2"/>
    <w:rsid w:val="001E0307"/>
    <w:rsid w:val="001E07CE"/>
    <w:rsid w:val="001E2E20"/>
    <w:rsid w:val="001E5E8F"/>
    <w:rsid w:val="001F0071"/>
    <w:rsid w:val="001F233F"/>
    <w:rsid w:val="001F26CF"/>
    <w:rsid w:val="001F3171"/>
    <w:rsid w:val="001F3EDA"/>
    <w:rsid w:val="001F6163"/>
    <w:rsid w:val="001F6D97"/>
    <w:rsid w:val="002028B7"/>
    <w:rsid w:val="00207215"/>
    <w:rsid w:val="00210A9B"/>
    <w:rsid w:val="00211D87"/>
    <w:rsid w:val="00212587"/>
    <w:rsid w:val="0021613F"/>
    <w:rsid w:val="002161F7"/>
    <w:rsid w:val="0022197D"/>
    <w:rsid w:val="0022228B"/>
    <w:rsid w:val="00222A2D"/>
    <w:rsid w:val="00223029"/>
    <w:rsid w:val="002239B0"/>
    <w:rsid w:val="00223BA2"/>
    <w:rsid w:val="00224989"/>
    <w:rsid w:val="00225611"/>
    <w:rsid w:val="00227E77"/>
    <w:rsid w:val="00234441"/>
    <w:rsid w:val="00234745"/>
    <w:rsid w:val="002351A6"/>
    <w:rsid w:val="00235600"/>
    <w:rsid w:val="00235BBF"/>
    <w:rsid w:val="00240379"/>
    <w:rsid w:val="002405E7"/>
    <w:rsid w:val="002407AF"/>
    <w:rsid w:val="00240CAB"/>
    <w:rsid w:val="002413A7"/>
    <w:rsid w:val="00243956"/>
    <w:rsid w:val="00244D4F"/>
    <w:rsid w:val="00245277"/>
    <w:rsid w:val="00247E34"/>
    <w:rsid w:val="002547A3"/>
    <w:rsid w:val="00254B26"/>
    <w:rsid w:val="00257099"/>
    <w:rsid w:val="0025776C"/>
    <w:rsid w:val="00257D06"/>
    <w:rsid w:val="0026221A"/>
    <w:rsid w:val="00262E30"/>
    <w:rsid w:val="00265133"/>
    <w:rsid w:val="0027125A"/>
    <w:rsid w:val="00271ABE"/>
    <w:rsid w:val="0027466B"/>
    <w:rsid w:val="00274F9F"/>
    <w:rsid w:val="00275EFD"/>
    <w:rsid w:val="0027767E"/>
    <w:rsid w:val="002814F6"/>
    <w:rsid w:val="0028353C"/>
    <w:rsid w:val="002838A5"/>
    <w:rsid w:val="00285BB4"/>
    <w:rsid w:val="00285FCA"/>
    <w:rsid w:val="00286D0E"/>
    <w:rsid w:val="0028701B"/>
    <w:rsid w:val="002914EA"/>
    <w:rsid w:val="00292BF4"/>
    <w:rsid w:val="00294231"/>
    <w:rsid w:val="0029790C"/>
    <w:rsid w:val="002B1A41"/>
    <w:rsid w:val="002B1E5C"/>
    <w:rsid w:val="002B28B0"/>
    <w:rsid w:val="002B403A"/>
    <w:rsid w:val="002B7A34"/>
    <w:rsid w:val="002C09E3"/>
    <w:rsid w:val="002C1388"/>
    <w:rsid w:val="002C3134"/>
    <w:rsid w:val="002C40C7"/>
    <w:rsid w:val="002C6A2C"/>
    <w:rsid w:val="002D1244"/>
    <w:rsid w:val="002D470A"/>
    <w:rsid w:val="002D7F79"/>
    <w:rsid w:val="002E0740"/>
    <w:rsid w:val="002E18ED"/>
    <w:rsid w:val="002E2A02"/>
    <w:rsid w:val="002E4C03"/>
    <w:rsid w:val="002E6751"/>
    <w:rsid w:val="002E6B39"/>
    <w:rsid w:val="002E7E3A"/>
    <w:rsid w:val="002F35C9"/>
    <w:rsid w:val="002F3B5C"/>
    <w:rsid w:val="002F61A9"/>
    <w:rsid w:val="003001C5"/>
    <w:rsid w:val="00306EDA"/>
    <w:rsid w:val="00311FB2"/>
    <w:rsid w:val="00312667"/>
    <w:rsid w:val="00314FE1"/>
    <w:rsid w:val="00321459"/>
    <w:rsid w:val="003228F1"/>
    <w:rsid w:val="00322D1A"/>
    <w:rsid w:val="00323211"/>
    <w:rsid w:val="0032488E"/>
    <w:rsid w:val="00325860"/>
    <w:rsid w:val="00325DA1"/>
    <w:rsid w:val="003279E5"/>
    <w:rsid w:val="00327DC5"/>
    <w:rsid w:val="0033133F"/>
    <w:rsid w:val="003336E4"/>
    <w:rsid w:val="00334037"/>
    <w:rsid w:val="003342E4"/>
    <w:rsid w:val="00337CEB"/>
    <w:rsid w:val="003445FE"/>
    <w:rsid w:val="00344B58"/>
    <w:rsid w:val="0034520C"/>
    <w:rsid w:val="0034539A"/>
    <w:rsid w:val="00345CB4"/>
    <w:rsid w:val="00346250"/>
    <w:rsid w:val="0035053E"/>
    <w:rsid w:val="0035080D"/>
    <w:rsid w:val="00350D35"/>
    <w:rsid w:val="003510F4"/>
    <w:rsid w:val="003513E0"/>
    <w:rsid w:val="00353068"/>
    <w:rsid w:val="003552B8"/>
    <w:rsid w:val="00357614"/>
    <w:rsid w:val="00357B92"/>
    <w:rsid w:val="00360D80"/>
    <w:rsid w:val="0036358D"/>
    <w:rsid w:val="003643C7"/>
    <w:rsid w:val="003659A4"/>
    <w:rsid w:val="00366F58"/>
    <w:rsid w:val="00370292"/>
    <w:rsid w:val="0037324A"/>
    <w:rsid w:val="0037357B"/>
    <w:rsid w:val="00375D42"/>
    <w:rsid w:val="00377047"/>
    <w:rsid w:val="00377338"/>
    <w:rsid w:val="00377768"/>
    <w:rsid w:val="0038123A"/>
    <w:rsid w:val="00381B48"/>
    <w:rsid w:val="00383721"/>
    <w:rsid w:val="00384330"/>
    <w:rsid w:val="003846DE"/>
    <w:rsid w:val="0038539E"/>
    <w:rsid w:val="0039768B"/>
    <w:rsid w:val="00397F6A"/>
    <w:rsid w:val="00397F83"/>
    <w:rsid w:val="003A26D2"/>
    <w:rsid w:val="003B264A"/>
    <w:rsid w:val="003B3579"/>
    <w:rsid w:val="003B4C1A"/>
    <w:rsid w:val="003B5180"/>
    <w:rsid w:val="003B6462"/>
    <w:rsid w:val="003C0C68"/>
    <w:rsid w:val="003C0DD9"/>
    <w:rsid w:val="003C30E7"/>
    <w:rsid w:val="003C3EDB"/>
    <w:rsid w:val="003D069C"/>
    <w:rsid w:val="003D15C2"/>
    <w:rsid w:val="003D30A0"/>
    <w:rsid w:val="003D451A"/>
    <w:rsid w:val="003D4691"/>
    <w:rsid w:val="003D7646"/>
    <w:rsid w:val="003E05D1"/>
    <w:rsid w:val="003E1EFF"/>
    <w:rsid w:val="003F113A"/>
    <w:rsid w:val="003F3E63"/>
    <w:rsid w:val="003F462E"/>
    <w:rsid w:val="003F4AEC"/>
    <w:rsid w:val="003F7888"/>
    <w:rsid w:val="00402D9D"/>
    <w:rsid w:val="004036D6"/>
    <w:rsid w:val="0040409A"/>
    <w:rsid w:val="00404111"/>
    <w:rsid w:val="00404693"/>
    <w:rsid w:val="004056BC"/>
    <w:rsid w:val="0040584E"/>
    <w:rsid w:val="004060D7"/>
    <w:rsid w:val="00407480"/>
    <w:rsid w:val="00407B03"/>
    <w:rsid w:val="00410E5C"/>
    <w:rsid w:val="00411B61"/>
    <w:rsid w:val="0041378F"/>
    <w:rsid w:val="00414643"/>
    <w:rsid w:val="00416443"/>
    <w:rsid w:val="004216BF"/>
    <w:rsid w:val="00422738"/>
    <w:rsid w:val="00425923"/>
    <w:rsid w:val="00427694"/>
    <w:rsid w:val="004313C4"/>
    <w:rsid w:val="00431DB0"/>
    <w:rsid w:val="00435945"/>
    <w:rsid w:val="00435B60"/>
    <w:rsid w:val="004421E5"/>
    <w:rsid w:val="00445797"/>
    <w:rsid w:val="00445DA7"/>
    <w:rsid w:val="00445E19"/>
    <w:rsid w:val="00446FA8"/>
    <w:rsid w:val="00452284"/>
    <w:rsid w:val="00453340"/>
    <w:rsid w:val="004548C1"/>
    <w:rsid w:val="004549DA"/>
    <w:rsid w:val="00454BD7"/>
    <w:rsid w:val="00455128"/>
    <w:rsid w:val="0045615B"/>
    <w:rsid w:val="00457C8E"/>
    <w:rsid w:val="004619F4"/>
    <w:rsid w:val="00465C4A"/>
    <w:rsid w:val="00471A28"/>
    <w:rsid w:val="004728E3"/>
    <w:rsid w:val="00472BF1"/>
    <w:rsid w:val="00474A2C"/>
    <w:rsid w:val="0047616E"/>
    <w:rsid w:val="0048027D"/>
    <w:rsid w:val="00481A9B"/>
    <w:rsid w:val="004856CA"/>
    <w:rsid w:val="0048677C"/>
    <w:rsid w:val="00487E67"/>
    <w:rsid w:val="004906B7"/>
    <w:rsid w:val="00491BAA"/>
    <w:rsid w:val="0049222A"/>
    <w:rsid w:val="0049565D"/>
    <w:rsid w:val="0049705E"/>
    <w:rsid w:val="004A2875"/>
    <w:rsid w:val="004A34A0"/>
    <w:rsid w:val="004A3687"/>
    <w:rsid w:val="004A3D16"/>
    <w:rsid w:val="004A60AC"/>
    <w:rsid w:val="004B3693"/>
    <w:rsid w:val="004B4FE5"/>
    <w:rsid w:val="004C7C82"/>
    <w:rsid w:val="004D0B05"/>
    <w:rsid w:val="004D0C7E"/>
    <w:rsid w:val="004D2A8E"/>
    <w:rsid w:val="004D553B"/>
    <w:rsid w:val="004D6581"/>
    <w:rsid w:val="004E10F0"/>
    <w:rsid w:val="004E1408"/>
    <w:rsid w:val="004E4C7D"/>
    <w:rsid w:val="004E520A"/>
    <w:rsid w:val="004E6C4F"/>
    <w:rsid w:val="004F07B6"/>
    <w:rsid w:val="004F2C2C"/>
    <w:rsid w:val="004F341A"/>
    <w:rsid w:val="004F7171"/>
    <w:rsid w:val="005008A8"/>
    <w:rsid w:val="00505803"/>
    <w:rsid w:val="0050683A"/>
    <w:rsid w:val="005107F8"/>
    <w:rsid w:val="0051419F"/>
    <w:rsid w:val="00514995"/>
    <w:rsid w:val="00516356"/>
    <w:rsid w:val="005176FE"/>
    <w:rsid w:val="00517A17"/>
    <w:rsid w:val="00517FD8"/>
    <w:rsid w:val="005201A9"/>
    <w:rsid w:val="00524114"/>
    <w:rsid w:val="00525BE8"/>
    <w:rsid w:val="00525D85"/>
    <w:rsid w:val="00525FAC"/>
    <w:rsid w:val="005264D9"/>
    <w:rsid w:val="005268C6"/>
    <w:rsid w:val="00526B7B"/>
    <w:rsid w:val="00527C37"/>
    <w:rsid w:val="005308CE"/>
    <w:rsid w:val="0053318C"/>
    <w:rsid w:val="005418B7"/>
    <w:rsid w:val="00544C34"/>
    <w:rsid w:val="00556195"/>
    <w:rsid w:val="00564870"/>
    <w:rsid w:val="00565025"/>
    <w:rsid w:val="005665BF"/>
    <w:rsid w:val="0056761A"/>
    <w:rsid w:val="00567F13"/>
    <w:rsid w:val="005713C5"/>
    <w:rsid w:val="0057364E"/>
    <w:rsid w:val="0057439C"/>
    <w:rsid w:val="00574794"/>
    <w:rsid w:val="00575483"/>
    <w:rsid w:val="0058143C"/>
    <w:rsid w:val="00582A8B"/>
    <w:rsid w:val="00584F14"/>
    <w:rsid w:val="00587EF4"/>
    <w:rsid w:val="0059172D"/>
    <w:rsid w:val="00593BF6"/>
    <w:rsid w:val="005960FA"/>
    <w:rsid w:val="005A1C12"/>
    <w:rsid w:val="005A252A"/>
    <w:rsid w:val="005A5D1D"/>
    <w:rsid w:val="005A60C2"/>
    <w:rsid w:val="005A671C"/>
    <w:rsid w:val="005B0127"/>
    <w:rsid w:val="005B2B3E"/>
    <w:rsid w:val="005B5CFC"/>
    <w:rsid w:val="005B7A35"/>
    <w:rsid w:val="005C42FB"/>
    <w:rsid w:val="005C4B73"/>
    <w:rsid w:val="005C4FEE"/>
    <w:rsid w:val="005C5C9D"/>
    <w:rsid w:val="005D0297"/>
    <w:rsid w:val="005D3430"/>
    <w:rsid w:val="005D5F36"/>
    <w:rsid w:val="005D7B05"/>
    <w:rsid w:val="005E0F8D"/>
    <w:rsid w:val="005E1D2B"/>
    <w:rsid w:val="005E28DA"/>
    <w:rsid w:val="005E2C86"/>
    <w:rsid w:val="005E5E3F"/>
    <w:rsid w:val="005E7074"/>
    <w:rsid w:val="005E7DD2"/>
    <w:rsid w:val="005F2BAF"/>
    <w:rsid w:val="005F5136"/>
    <w:rsid w:val="005F778A"/>
    <w:rsid w:val="00600D93"/>
    <w:rsid w:val="00603C6D"/>
    <w:rsid w:val="00607871"/>
    <w:rsid w:val="00612EAC"/>
    <w:rsid w:val="00616D8C"/>
    <w:rsid w:val="00616E5A"/>
    <w:rsid w:val="00622186"/>
    <w:rsid w:val="006243C8"/>
    <w:rsid w:val="00625FA9"/>
    <w:rsid w:val="00626179"/>
    <w:rsid w:val="00626BEA"/>
    <w:rsid w:val="0063300C"/>
    <w:rsid w:val="0064059F"/>
    <w:rsid w:val="00641E3E"/>
    <w:rsid w:val="006437D6"/>
    <w:rsid w:val="00644456"/>
    <w:rsid w:val="00644D31"/>
    <w:rsid w:val="00650AFF"/>
    <w:rsid w:val="006511FD"/>
    <w:rsid w:val="00651A5B"/>
    <w:rsid w:val="00654903"/>
    <w:rsid w:val="00655736"/>
    <w:rsid w:val="00662229"/>
    <w:rsid w:val="00662C74"/>
    <w:rsid w:val="00662E74"/>
    <w:rsid w:val="006633F6"/>
    <w:rsid w:val="00663B8D"/>
    <w:rsid w:val="00664B02"/>
    <w:rsid w:val="006679C3"/>
    <w:rsid w:val="00674E5A"/>
    <w:rsid w:val="00675C5A"/>
    <w:rsid w:val="00686027"/>
    <w:rsid w:val="00693824"/>
    <w:rsid w:val="006951C0"/>
    <w:rsid w:val="00696C8D"/>
    <w:rsid w:val="006A1474"/>
    <w:rsid w:val="006A2AC2"/>
    <w:rsid w:val="006A3617"/>
    <w:rsid w:val="006A477C"/>
    <w:rsid w:val="006A60DD"/>
    <w:rsid w:val="006A6830"/>
    <w:rsid w:val="006B1EF2"/>
    <w:rsid w:val="006B298A"/>
    <w:rsid w:val="006B4089"/>
    <w:rsid w:val="006B4452"/>
    <w:rsid w:val="006B5C3E"/>
    <w:rsid w:val="006B7C76"/>
    <w:rsid w:val="006C193A"/>
    <w:rsid w:val="006C514E"/>
    <w:rsid w:val="006C56E1"/>
    <w:rsid w:val="006C6747"/>
    <w:rsid w:val="006C6F80"/>
    <w:rsid w:val="006D1EBC"/>
    <w:rsid w:val="006D2D4F"/>
    <w:rsid w:val="006E291D"/>
    <w:rsid w:val="006E2E78"/>
    <w:rsid w:val="006E3477"/>
    <w:rsid w:val="006E46E4"/>
    <w:rsid w:val="006E4C95"/>
    <w:rsid w:val="006E52F6"/>
    <w:rsid w:val="006E562E"/>
    <w:rsid w:val="006E566B"/>
    <w:rsid w:val="006E75EB"/>
    <w:rsid w:val="006E7A02"/>
    <w:rsid w:val="006F0081"/>
    <w:rsid w:val="006F22A5"/>
    <w:rsid w:val="006F321F"/>
    <w:rsid w:val="006F484D"/>
    <w:rsid w:val="006F5250"/>
    <w:rsid w:val="007005D1"/>
    <w:rsid w:val="00701B18"/>
    <w:rsid w:val="00703E86"/>
    <w:rsid w:val="00704D1F"/>
    <w:rsid w:val="007141E8"/>
    <w:rsid w:val="00715392"/>
    <w:rsid w:val="00716105"/>
    <w:rsid w:val="00717999"/>
    <w:rsid w:val="00717DA5"/>
    <w:rsid w:val="00724219"/>
    <w:rsid w:val="007254B5"/>
    <w:rsid w:val="007265F1"/>
    <w:rsid w:val="007302E5"/>
    <w:rsid w:val="0073044C"/>
    <w:rsid w:val="00730B44"/>
    <w:rsid w:val="00732055"/>
    <w:rsid w:val="00732691"/>
    <w:rsid w:val="00732D5B"/>
    <w:rsid w:val="00741A84"/>
    <w:rsid w:val="00743073"/>
    <w:rsid w:val="00744484"/>
    <w:rsid w:val="00747566"/>
    <w:rsid w:val="007542C9"/>
    <w:rsid w:val="00755E21"/>
    <w:rsid w:val="007564B7"/>
    <w:rsid w:val="00763035"/>
    <w:rsid w:val="00763F90"/>
    <w:rsid w:val="00764572"/>
    <w:rsid w:val="0076709D"/>
    <w:rsid w:val="007718E1"/>
    <w:rsid w:val="007721F9"/>
    <w:rsid w:val="00773188"/>
    <w:rsid w:val="007761D4"/>
    <w:rsid w:val="007770E7"/>
    <w:rsid w:val="00783281"/>
    <w:rsid w:val="00783782"/>
    <w:rsid w:val="00784B8C"/>
    <w:rsid w:val="007879E1"/>
    <w:rsid w:val="007922CC"/>
    <w:rsid w:val="007925BC"/>
    <w:rsid w:val="0079486C"/>
    <w:rsid w:val="007A1EEB"/>
    <w:rsid w:val="007A2987"/>
    <w:rsid w:val="007A2F66"/>
    <w:rsid w:val="007A5578"/>
    <w:rsid w:val="007B1EBC"/>
    <w:rsid w:val="007B4009"/>
    <w:rsid w:val="007C0E0F"/>
    <w:rsid w:val="007C2B6B"/>
    <w:rsid w:val="007C48ED"/>
    <w:rsid w:val="007C4F87"/>
    <w:rsid w:val="007C6818"/>
    <w:rsid w:val="007C6F5D"/>
    <w:rsid w:val="007D0AD9"/>
    <w:rsid w:val="007D3016"/>
    <w:rsid w:val="007D3269"/>
    <w:rsid w:val="007D41C7"/>
    <w:rsid w:val="007D4C0E"/>
    <w:rsid w:val="007D4CC1"/>
    <w:rsid w:val="007D7BAC"/>
    <w:rsid w:val="007E07FA"/>
    <w:rsid w:val="007E19AF"/>
    <w:rsid w:val="007E3864"/>
    <w:rsid w:val="007E57AA"/>
    <w:rsid w:val="007F2BB2"/>
    <w:rsid w:val="007F4B9F"/>
    <w:rsid w:val="007F4CCB"/>
    <w:rsid w:val="008024F4"/>
    <w:rsid w:val="00804597"/>
    <w:rsid w:val="00804732"/>
    <w:rsid w:val="00812EC7"/>
    <w:rsid w:val="00813F65"/>
    <w:rsid w:val="0081759C"/>
    <w:rsid w:val="00823A11"/>
    <w:rsid w:val="008308DC"/>
    <w:rsid w:val="008352B2"/>
    <w:rsid w:val="00840E47"/>
    <w:rsid w:val="008438B1"/>
    <w:rsid w:val="00850A28"/>
    <w:rsid w:val="00852923"/>
    <w:rsid w:val="0085405E"/>
    <w:rsid w:val="0085414A"/>
    <w:rsid w:val="00857EB9"/>
    <w:rsid w:val="00860F90"/>
    <w:rsid w:val="00861C83"/>
    <w:rsid w:val="0086269D"/>
    <w:rsid w:val="0086543A"/>
    <w:rsid w:val="00870611"/>
    <w:rsid w:val="00870731"/>
    <w:rsid w:val="008717DE"/>
    <w:rsid w:val="008724E5"/>
    <w:rsid w:val="00872E43"/>
    <w:rsid w:val="00873277"/>
    <w:rsid w:val="008754C0"/>
    <w:rsid w:val="00875AAA"/>
    <w:rsid w:val="008765C9"/>
    <w:rsid w:val="0087702C"/>
    <w:rsid w:val="00880A01"/>
    <w:rsid w:val="008817FA"/>
    <w:rsid w:val="00881E2A"/>
    <w:rsid w:val="00884A9D"/>
    <w:rsid w:val="0088512B"/>
    <w:rsid w:val="00890F42"/>
    <w:rsid w:val="00891D3E"/>
    <w:rsid w:val="00892269"/>
    <w:rsid w:val="00894D2C"/>
    <w:rsid w:val="00894D92"/>
    <w:rsid w:val="008A2B2D"/>
    <w:rsid w:val="008A4E1E"/>
    <w:rsid w:val="008A51BE"/>
    <w:rsid w:val="008A6458"/>
    <w:rsid w:val="008A751F"/>
    <w:rsid w:val="008B18A0"/>
    <w:rsid w:val="008B2414"/>
    <w:rsid w:val="008B6BEA"/>
    <w:rsid w:val="008C0825"/>
    <w:rsid w:val="008C1641"/>
    <w:rsid w:val="008C1775"/>
    <w:rsid w:val="008C18BE"/>
    <w:rsid w:val="008C296C"/>
    <w:rsid w:val="008C4642"/>
    <w:rsid w:val="008C6749"/>
    <w:rsid w:val="008C75B1"/>
    <w:rsid w:val="008C7D63"/>
    <w:rsid w:val="008D4305"/>
    <w:rsid w:val="008E1A85"/>
    <w:rsid w:val="008E344F"/>
    <w:rsid w:val="008F2AFD"/>
    <w:rsid w:val="008F73B7"/>
    <w:rsid w:val="009032A8"/>
    <w:rsid w:val="00904D33"/>
    <w:rsid w:val="009154CD"/>
    <w:rsid w:val="009163A7"/>
    <w:rsid w:val="009177ED"/>
    <w:rsid w:val="00917A4B"/>
    <w:rsid w:val="00920194"/>
    <w:rsid w:val="00920468"/>
    <w:rsid w:val="00920CB3"/>
    <w:rsid w:val="00924A65"/>
    <w:rsid w:val="00927C9E"/>
    <w:rsid w:val="00927D0A"/>
    <w:rsid w:val="00927DBB"/>
    <w:rsid w:val="009325DE"/>
    <w:rsid w:val="00937D53"/>
    <w:rsid w:val="00940B7D"/>
    <w:rsid w:val="00941C6A"/>
    <w:rsid w:val="00943238"/>
    <w:rsid w:val="0094395A"/>
    <w:rsid w:val="00945229"/>
    <w:rsid w:val="0094531E"/>
    <w:rsid w:val="009459AD"/>
    <w:rsid w:val="00946D0B"/>
    <w:rsid w:val="00947608"/>
    <w:rsid w:val="00947987"/>
    <w:rsid w:val="00950EAE"/>
    <w:rsid w:val="009523E0"/>
    <w:rsid w:val="00953B52"/>
    <w:rsid w:val="00955877"/>
    <w:rsid w:val="00956946"/>
    <w:rsid w:val="00957BF9"/>
    <w:rsid w:val="00961E35"/>
    <w:rsid w:val="00962034"/>
    <w:rsid w:val="00966E10"/>
    <w:rsid w:val="0097229E"/>
    <w:rsid w:val="00973E8E"/>
    <w:rsid w:val="00980A27"/>
    <w:rsid w:val="00980FCB"/>
    <w:rsid w:val="00981432"/>
    <w:rsid w:val="00990862"/>
    <w:rsid w:val="009913FF"/>
    <w:rsid w:val="00991A23"/>
    <w:rsid w:val="009934A8"/>
    <w:rsid w:val="00994B83"/>
    <w:rsid w:val="00994D7C"/>
    <w:rsid w:val="009963C9"/>
    <w:rsid w:val="009A072A"/>
    <w:rsid w:val="009A09C2"/>
    <w:rsid w:val="009A0B7E"/>
    <w:rsid w:val="009A18CD"/>
    <w:rsid w:val="009A2790"/>
    <w:rsid w:val="009A5E75"/>
    <w:rsid w:val="009B5BC5"/>
    <w:rsid w:val="009B62F9"/>
    <w:rsid w:val="009B6CBC"/>
    <w:rsid w:val="009B7931"/>
    <w:rsid w:val="009C1B96"/>
    <w:rsid w:val="009C1EC9"/>
    <w:rsid w:val="009C23DB"/>
    <w:rsid w:val="009C2919"/>
    <w:rsid w:val="009D0AF1"/>
    <w:rsid w:val="009D20FF"/>
    <w:rsid w:val="009D30FA"/>
    <w:rsid w:val="009D5428"/>
    <w:rsid w:val="009D6A55"/>
    <w:rsid w:val="009D7163"/>
    <w:rsid w:val="009E2125"/>
    <w:rsid w:val="009E2C82"/>
    <w:rsid w:val="009E3435"/>
    <w:rsid w:val="009E5760"/>
    <w:rsid w:val="009F21A8"/>
    <w:rsid w:val="009F5F65"/>
    <w:rsid w:val="009F7807"/>
    <w:rsid w:val="00A018A5"/>
    <w:rsid w:val="00A04706"/>
    <w:rsid w:val="00A05785"/>
    <w:rsid w:val="00A12558"/>
    <w:rsid w:val="00A13835"/>
    <w:rsid w:val="00A13903"/>
    <w:rsid w:val="00A164D7"/>
    <w:rsid w:val="00A168C6"/>
    <w:rsid w:val="00A20AE0"/>
    <w:rsid w:val="00A233B9"/>
    <w:rsid w:val="00A23FA9"/>
    <w:rsid w:val="00A2497E"/>
    <w:rsid w:val="00A25742"/>
    <w:rsid w:val="00A27125"/>
    <w:rsid w:val="00A32F3E"/>
    <w:rsid w:val="00A34ED5"/>
    <w:rsid w:val="00A3594D"/>
    <w:rsid w:val="00A37959"/>
    <w:rsid w:val="00A439D9"/>
    <w:rsid w:val="00A45DBF"/>
    <w:rsid w:val="00A4713D"/>
    <w:rsid w:val="00A47702"/>
    <w:rsid w:val="00A54E21"/>
    <w:rsid w:val="00A55695"/>
    <w:rsid w:val="00A55E75"/>
    <w:rsid w:val="00A5725D"/>
    <w:rsid w:val="00A601C6"/>
    <w:rsid w:val="00A61B3D"/>
    <w:rsid w:val="00A62A85"/>
    <w:rsid w:val="00A62E8D"/>
    <w:rsid w:val="00A63DF6"/>
    <w:rsid w:val="00A6501C"/>
    <w:rsid w:val="00A65057"/>
    <w:rsid w:val="00A6605F"/>
    <w:rsid w:val="00A6737C"/>
    <w:rsid w:val="00A71080"/>
    <w:rsid w:val="00A725CF"/>
    <w:rsid w:val="00A755A2"/>
    <w:rsid w:val="00A77757"/>
    <w:rsid w:val="00A85D19"/>
    <w:rsid w:val="00A8771C"/>
    <w:rsid w:val="00A91430"/>
    <w:rsid w:val="00A92E78"/>
    <w:rsid w:val="00A97FA1"/>
    <w:rsid w:val="00AA1F54"/>
    <w:rsid w:val="00AA590D"/>
    <w:rsid w:val="00AA6039"/>
    <w:rsid w:val="00AA6660"/>
    <w:rsid w:val="00AA6C18"/>
    <w:rsid w:val="00AB12CF"/>
    <w:rsid w:val="00AB2C36"/>
    <w:rsid w:val="00AB4187"/>
    <w:rsid w:val="00AB6022"/>
    <w:rsid w:val="00AB6DDE"/>
    <w:rsid w:val="00AB6FC9"/>
    <w:rsid w:val="00AB70B6"/>
    <w:rsid w:val="00AD0911"/>
    <w:rsid w:val="00AD1A86"/>
    <w:rsid w:val="00AD2320"/>
    <w:rsid w:val="00AD4FD9"/>
    <w:rsid w:val="00AD5C46"/>
    <w:rsid w:val="00AE103E"/>
    <w:rsid w:val="00AE237B"/>
    <w:rsid w:val="00AF0A07"/>
    <w:rsid w:val="00AF0B99"/>
    <w:rsid w:val="00AF3266"/>
    <w:rsid w:val="00AF33D6"/>
    <w:rsid w:val="00AF4AEC"/>
    <w:rsid w:val="00AF4ED8"/>
    <w:rsid w:val="00AF5F34"/>
    <w:rsid w:val="00AF625E"/>
    <w:rsid w:val="00AF7134"/>
    <w:rsid w:val="00AF7CE5"/>
    <w:rsid w:val="00B01FCA"/>
    <w:rsid w:val="00B02CE4"/>
    <w:rsid w:val="00B03E9E"/>
    <w:rsid w:val="00B04884"/>
    <w:rsid w:val="00B05687"/>
    <w:rsid w:val="00B0633A"/>
    <w:rsid w:val="00B0797C"/>
    <w:rsid w:val="00B13809"/>
    <w:rsid w:val="00B139BE"/>
    <w:rsid w:val="00B17B10"/>
    <w:rsid w:val="00B20E14"/>
    <w:rsid w:val="00B2172B"/>
    <w:rsid w:val="00B21DB3"/>
    <w:rsid w:val="00B2227D"/>
    <w:rsid w:val="00B2243C"/>
    <w:rsid w:val="00B23EEC"/>
    <w:rsid w:val="00B32B7F"/>
    <w:rsid w:val="00B353BF"/>
    <w:rsid w:val="00B35768"/>
    <w:rsid w:val="00B44018"/>
    <w:rsid w:val="00B44794"/>
    <w:rsid w:val="00B4490A"/>
    <w:rsid w:val="00B46117"/>
    <w:rsid w:val="00B47BC5"/>
    <w:rsid w:val="00B51494"/>
    <w:rsid w:val="00B52C0C"/>
    <w:rsid w:val="00B62DEA"/>
    <w:rsid w:val="00B64E84"/>
    <w:rsid w:val="00B66101"/>
    <w:rsid w:val="00B66665"/>
    <w:rsid w:val="00B7016D"/>
    <w:rsid w:val="00B712D4"/>
    <w:rsid w:val="00B76A7A"/>
    <w:rsid w:val="00B86078"/>
    <w:rsid w:val="00B862C1"/>
    <w:rsid w:val="00B917D2"/>
    <w:rsid w:val="00B91FAF"/>
    <w:rsid w:val="00B927D6"/>
    <w:rsid w:val="00B92C18"/>
    <w:rsid w:val="00B94CF2"/>
    <w:rsid w:val="00B97467"/>
    <w:rsid w:val="00BA241A"/>
    <w:rsid w:val="00BA76D5"/>
    <w:rsid w:val="00BB04AF"/>
    <w:rsid w:val="00BB0993"/>
    <w:rsid w:val="00BB28CF"/>
    <w:rsid w:val="00BC0E8A"/>
    <w:rsid w:val="00BC2DFD"/>
    <w:rsid w:val="00BC3085"/>
    <w:rsid w:val="00BC4D87"/>
    <w:rsid w:val="00BC75FC"/>
    <w:rsid w:val="00BD0395"/>
    <w:rsid w:val="00BD2DB2"/>
    <w:rsid w:val="00BD52C9"/>
    <w:rsid w:val="00BD629B"/>
    <w:rsid w:val="00BD7C58"/>
    <w:rsid w:val="00BE028C"/>
    <w:rsid w:val="00BE0C0C"/>
    <w:rsid w:val="00BE50D4"/>
    <w:rsid w:val="00BE6126"/>
    <w:rsid w:val="00BE6193"/>
    <w:rsid w:val="00BE6354"/>
    <w:rsid w:val="00BF2C90"/>
    <w:rsid w:val="00C00D22"/>
    <w:rsid w:val="00C05E1D"/>
    <w:rsid w:val="00C071DF"/>
    <w:rsid w:val="00C10427"/>
    <w:rsid w:val="00C13353"/>
    <w:rsid w:val="00C138D1"/>
    <w:rsid w:val="00C14879"/>
    <w:rsid w:val="00C14BA9"/>
    <w:rsid w:val="00C15161"/>
    <w:rsid w:val="00C154D9"/>
    <w:rsid w:val="00C22F28"/>
    <w:rsid w:val="00C23A97"/>
    <w:rsid w:val="00C24F8A"/>
    <w:rsid w:val="00C25012"/>
    <w:rsid w:val="00C26201"/>
    <w:rsid w:val="00C30DE2"/>
    <w:rsid w:val="00C33C91"/>
    <w:rsid w:val="00C3403D"/>
    <w:rsid w:val="00C342B0"/>
    <w:rsid w:val="00C343C0"/>
    <w:rsid w:val="00C35674"/>
    <w:rsid w:val="00C357DC"/>
    <w:rsid w:val="00C41E95"/>
    <w:rsid w:val="00C438B7"/>
    <w:rsid w:val="00C45732"/>
    <w:rsid w:val="00C47311"/>
    <w:rsid w:val="00C50288"/>
    <w:rsid w:val="00C52EBE"/>
    <w:rsid w:val="00C54746"/>
    <w:rsid w:val="00C5558C"/>
    <w:rsid w:val="00C5776D"/>
    <w:rsid w:val="00C6053A"/>
    <w:rsid w:val="00C64476"/>
    <w:rsid w:val="00C64855"/>
    <w:rsid w:val="00C661AE"/>
    <w:rsid w:val="00C70EA7"/>
    <w:rsid w:val="00C729C3"/>
    <w:rsid w:val="00C7433F"/>
    <w:rsid w:val="00C74759"/>
    <w:rsid w:val="00C7516E"/>
    <w:rsid w:val="00C75770"/>
    <w:rsid w:val="00C76377"/>
    <w:rsid w:val="00C7701E"/>
    <w:rsid w:val="00C77CED"/>
    <w:rsid w:val="00C827C3"/>
    <w:rsid w:val="00C87A7B"/>
    <w:rsid w:val="00C94827"/>
    <w:rsid w:val="00C95FF6"/>
    <w:rsid w:val="00C96CC0"/>
    <w:rsid w:val="00C976CD"/>
    <w:rsid w:val="00CA01EE"/>
    <w:rsid w:val="00CA34DA"/>
    <w:rsid w:val="00CA3BA5"/>
    <w:rsid w:val="00CA56BB"/>
    <w:rsid w:val="00CA652B"/>
    <w:rsid w:val="00CB0542"/>
    <w:rsid w:val="00CB09E1"/>
    <w:rsid w:val="00CB5000"/>
    <w:rsid w:val="00CB5726"/>
    <w:rsid w:val="00CB6244"/>
    <w:rsid w:val="00CB6BF1"/>
    <w:rsid w:val="00CC0939"/>
    <w:rsid w:val="00CC26EC"/>
    <w:rsid w:val="00CC49DA"/>
    <w:rsid w:val="00CC56EB"/>
    <w:rsid w:val="00CC6F1E"/>
    <w:rsid w:val="00CD0394"/>
    <w:rsid w:val="00CD1205"/>
    <w:rsid w:val="00CD2E0F"/>
    <w:rsid w:val="00CD4378"/>
    <w:rsid w:val="00CD581C"/>
    <w:rsid w:val="00CE22BF"/>
    <w:rsid w:val="00CE44A0"/>
    <w:rsid w:val="00CE63DF"/>
    <w:rsid w:val="00CE6EC5"/>
    <w:rsid w:val="00CE7B5F"/>
    <w:rsid w:val="00CF2501"/>
    <w:rsid w:val="00CF2EA3"/>
    <w:rsid w:val="00CF4303"/>
    <w:rsid w:val="00CF5C9E"/>
    <w:rsid w:val="00CF6D4D"/>
    <w:rsid w:val="00D00B2B"/>
    <w:rsid w:val="00D01D04"/>
    <w:rsid w:val="00D02C87"/>
    <w:rsid w:val="00D05B00"/>
    <w:rsid w:val="00D10734"/>
    <w:rsid w:val="00D135CA"/>
    <w:rsid w:val="00D1413F"/>
    <w:rsid w:val="00D215FC"/>
    <w:rsid w:val="00D24877"/>
    <w:rsid w:val="00D27C8F"/>
    <w:rsid w:val="00D30D9B"/>
    <w:rsid w:val="00D31E1A"/>
    <w:rsid w:val="00D35C50"/>
    <w:rsid w:val="00D3627E"/>
    <w:rsid w:val="00D37D22"/>
    <w:rsid w:val="00D400FB"/>
    <w:rsid w:val="00D41062"/>
    <w:rsid w:val="00D41BE3"/>
    <w:rsid w:val="00D467BF"/>
    <w:rsid w:val="00D47430"/>
    <w:rsid w:val="00D50C51"/>
    <w:rsid w:val="00D51723"/>
    <w:rsid w:val="00D54A7A"/>
    <w:rsid w:val="00D54B7C"/>
    <w:rsid w:val="00D574FB"/>
    <w:rsid w:val="00D602CB"/>
    <w:rsid w:val="00D6141F"/>
    <w:rsid w:val="00D62B63"/>
    <w:rsid w:val="00D63318"/>
    <w:rsid w:val="00D65817"/>
    <w:rsid w:val="00D663C6"/>
    <w:rsid w:val="00D7105A"/>
    <w:rsid w:val="00D710BA"/>
    <w:rsid w:val="00D71C89"/>
    <w:rsid w:val="00D73800"/>
    <w:rsid w:val="00D8250F"/>
    <w:rsid w:val="00D82B40"/>
    <w:rsid w:val="00D84360"/>
    <w:rsid w:val="00D85708"/>
    <w:rsid w:val="00D86BB3"/>
    <w:rsid w:val="00D9050C"/>
    <w:rsid w:val="00D94F37"/>
    <w:rsid w:val="00D95C08"/>
    <w:rsid w:val="00D95C4C"/>
    <w:rsid w:val="00DA36ED"/>
    <w:rsid w:val="00DA3C0E"/>
    <w:rsid w:val="00DA4E62"/>
    <w:rsid w:val="00DA7488"/>
    <w:rsid w:val="00DB244B"/>
    <w:rsid w:val="00DB619A"/>
    <w:rsid w:val="00DC141C"/>
    <w:rsid w:val="00DC243B"/>
    <w:rsid w:val="00DC257E"/>
    <w:rsid w:val="00DC25FB"/>
    <w:rsid w:val="00DC2ED8"/>
    <w:rsid w:val="00DC4EE2"/>
    <w:rsid w:val="00DD289F"/>
    <w:rsid w:val="00DD422E"/>
    <w:rsid w:val="00DD6C75"/>
    <w:rsid w:val="00DE087A"/>
    <w:rsid w:val="00DE199D"/>
    <w:rsid w:val="00DE25D0"/>
    <w:rsid w:val="00DE2977"/>
    <w:rsid w:val="00DE34F1"/>
    <w:rsid w:val="00DE6160"/>
    <w:rsid w:val="00DF4942"/>
    <w:rsid w:val="00DF498E"/>
    <w:rsid w:val="00DF639D"/>
    <w:rsid w:val="00E02779"/>
    <w:rsid w:val="00E02CA0"/>
    <w:rsid w:val="00E05DC7"/>
    <w:rsid w:val="00E06779"/>
    <w:rsid w:val="00E104FE"/>
    <w:rsid w:val="00E13FDB"/>
    <w:rsid w:val="00E14717"/>
    <w:rsid w:val="00E1555F"/>
    <w:rsid w:val="00E2086A"/>
    <w:rsid w:val="00E2125F"/>
    <w:rsid w:val="00E240B8"/>
    <w:rsid w:val="00E244E1"/>
    <w:rsid w:val="00E26A05"/>
    <w:rsid w:val="00E312AB"/>
    <w:rsid w:val="00E33E43"/>
    <w:rsid w:val="00E350E4"/>
    <w:rsid w:val="00E3700E"/>
    <w:rsid w:val="00E40B3D"/>
    <w:rsid w:val="00E4150C"/>
    <w:rsid w:val="00E41B9B"/>
    <w:rsid w:val="00E42D23"/>
    <w:rsid w:val="00E43A59"/>
    <w:rsid w:val="00E471D3"/>
    <w:rsid w:val="00E50C64"/>
    <w:rsid w:val="00E52408"/>
    <w:rsid w:val="00E5650A"/>
    <w:rsid w:val="00E627B1"/>
    <w:rsid w:val="00E63515"/>
    <w:rsid w:val="00E646D9"/>
    <w:rsid w:val="00E66C0E"/>
    <w:rsid w:val="00E70169"/>
    <w:rsid w:val="00E73046"/>
    <w:rsid w:val="00E7414F"/>
    <w:rsid w:val="00E75865"/>
    <w:rsid w:val="00E76E56"/>
    <w:rsid w:val="00E7718B"/>
    <w:rsid w:val="00E824F1"/>
    <w:rsid w:val="00E906FD"/>
    <w:rsid w:val="00E91610"/>
    <w:rsid w:val="00E9166E"/>
    <w:rsid w:val="00E9376C"/>
    <w:rsid w:val="00E94A20"/>
    <w:rsid w:val="00E95AE2"/>
    <w:rsid w:val="00E961E4"/>
    <w:rsid w:val="00EA0EF4"/>
    <w:rsid w:val="00EA335E"/>
    <w:rsid w:val="00EA528C"/>
    <w:rsid w:val="00EA580C"/>
    <w:rsid w:val="00EA65CB"/>
    <w:rsid w:val="00EA7842"/>
    <w:rsid w:val="00EB30C4"/>
    <w:rsid w:val="00EB766A"/>
    <w:rsid w:val="00EB7E9D"/>
    <w:rsid w:val="00EC259C"/>
    <w:rsid w:val="00EC3424"/>
    <w:rsid w:val="00EC6BB4"/>
    <w:rsid w:val="00EC6F8D"/>
    <w:rsid w:val="00ED0C29"/>
    <w:rsid w:val="00ED39B2"/>
    <w:rsid w:val="00ED6204"/>
    <w:rsid w:val="00EE0610"/>
    <w:rsid w:val="00EE11E8"/>
    <w:rsid w:val="00EE153D"/>
    <w:rsid w:val="00EE31D2"/>
    <w:rsid w:val="00EE49F4"/>
    <w:rsid w:val="00EF34E2"/>
    <w:rsid w:val="00F03DF1"/>
    <w:rsid w:val="00F10A80"/>
    <w:rsid w:val="00F10D21"/>
    <w:rsid w:val="00F117FC"/>
    <w:rsid w:val="00F11E8A"/>
    <w:rsid w:val="00F1247E"/>
    <w:rsid w:val="00F13825"/>
    <w:rsid w:val="00F2263F"/>
    <w:rsid w:val="00F259FB"/>
    <w:rsid w:val="00F26283"/>
    <w:rsid w:val="00F27112"/>
    <w:rsid w:val="00F30DC6"/>
    <w:rsid w:val="00F31F96"/>
    <w:rsid w:val="00F32596"/>
    <w:rsid w:val="00F32C23"/>
    <w:rsid w:val="00F346BA"/>
    <w:rsid w:val="00F36FFC"/>
    <w:rsid w:val="00F43B29"/>
    <w:rsid w:val="00F450EF"/>
    <w:rsid w:val="00F508D7"/>
    <w:rsid w:val="00F53DE9"/>
    <w:rsid w:val="00F54441"/>
    <w:rsid w:val="00F576CB"/>
    <w:rsid w:val="00F6786C"/>
    <w:rsid w:val="00F7035D"/>
    <w:rsid w:val="00F70CC5"/>
    <w:rsid w:val="00F71A02"/>
    <w:rsid w:val="00F7273D"/>
    <w:rsid w:val="00F73323"/>
    <w:rsid w:val="00F80873"/>
    <w:rsid w:val="00F8116F"/>
    <w:rsid w:val="00F81EB0"/>
    <w:rsid w:val="00F87BCA"/>
    <w:rsid w:val="00F93E36"/>
    <w:rsid w:val="00F963CF"/>
    <w:rsid w:val="00FA0D63"/>
    <w:rsid w:val="00FA1373"/>
    <w:rsid w:val="00FA1FA9"/>
    <w:rsid w:val="00FA25E9"/>
    <w:rsid w:val="00FA309D"/>
    <w:rsid w:val="00FA3320"/>
    <w:rsid w:val="00FA3FE5"/>
    <w:rsid w:val="00FA4B90"/>
    <w:rsid w:val="00FA61C7"/>
    <w:rsid w:val="00FB122F"/>
    <w:rsid w:val="00FB21A9"/>
    <w:rsid w:val="00FB24C0"/>
    <w:rsid w:val="00FB2549"/>
    <w:rsid w:val="00FB2BD2"/>
    <w:rsid w:val="00FB65A8"/>
    <w:rsid w:val="00FB67AE"/>
    <w:rsid w:val="00FC0894"/>
    <w:rsid w:val="00FC1E0F"/>
    <w:rsid w:val="00FC26D6"/>
    <w:rsid w:val="00FC2A1F"/>
    <w:rsid w:val="00FC2D19"/>
    <w:rsid w:val="00FC3093"/>
    <w:rsid w:val="00FC5158"/>
    <w:rsid w:val="00FC5D67"/>
    <w:rsid w:val="00FD1226"/>
    <w:rsid w:val="00FD183E"/>
    <w:rsid w:val="00FD29D9"/>
    <w:rsid w:val="00FE0B34"/>
    <w:rsid w:val="00FE1677"/>
    <w:rsid w:val="00FE257B"/>
    <w:rsid w:val="00FE38EB"/>
    <w:rsid w:val="00FF1E50"/>
    <w:rsid w:val="00FF2779"/>
    <w:rsid w:val="00FF328E"/>
    <w:rsid w:val="00FF3B2D"/>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02EDB777-9FDD-4A5F-AE84-994833BE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9432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ListParagraphChar"/>
    <w:qFormat/>
    <w:rsid w:val="004A2875"/>
    <w:pPr>
      <w:ind w:left="720"/>
      <w:contextualSpacing/>
    </w:pPr>
  </w:style>
  <w:style w:type="paragraph" w:styleId="FootnoteText">
    <w:name w:val="footnote text"/>
    <w:basedOn w:val="Normal"/>
    <w:link w:val="FootnoteTextChar"/>
    <w:uiPriority w:val="99"/>
    <w:unhideWhenUsed/>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iPriority w:val="99"/>
    <w:unhideWhenUsed/>
    <w:rsid w:val="004313C4"/>
    <w:rPr>
      <w:vertAlign w:val="superscript"/>
    </w:rPr>
  </w:style>
  <w:style w:type="paragraph" w:customStyle="1" w:styleId="GAPara">
    <w:name w:val="GA Para"/>
    <w:qFormat/>
    <w:rsid w:val="002B1E5C"/>
    <w:pPr>
      <w:spacing w:after="120"/>
      <w:ind w:left="720" w:hanging="360"/>
    </w:pPr>
    <w:rPr>
      <w:rFonts w:ascii="Arial" w:eastAsia="Times New Roman" w:hAnsi="Arial" w:cs="Arial"/>
      <w:snapToGrid w:val="0"/>
      <w:sz w:val="22"/>
      <w:szCs w:val="22"/>
      <w:lang w:val="en-GB" w:eastAsia="en-US"/>
    </w:rPr>
  </w:style>
  <w:style w:type="character" w:styleId="Hyperlink">
    <w:name w:val="Hyperlink"/>
    <w:basedOn w:val="DefaultParagraphFont"/>
    <w:uiPriority w:val="99"/>
    <w:rsid w:val="002B1E5C"/>
    <w:rPr>
      <w:rFonts w:cs="Times New Roman"/>
      <w:color w:val="0000FF"/>
      <w:u w:val="single"/>
    </w:rPr>
  </w:style>
  <w:style w:type="character" w:styleId="FollowedHyperlink">
    <w:name w:val="FollowedHyperlink"/>
    <w:basedOn w:val="DefaultParagraphFont"/>
    <w:uiPriority w:val="99"/>
    <w:semiHidden/>
    <w:unhideWhenUsed/>
    <w:rsid w:val="006F0081"/>
    <w:rPr>
      <w:color w:val="800080" w:themeColor="followedHyperlink"/>
      <w:u w:val="single"/>
    </w:rPr>
  </w:style>
  <w:style w:type="character" w:styleId="UnresolvedMention">
    <w:name w:val="Unresolved Mention"/>
    <w:basedOn w:val="DefaultParagraphFont"/>
    <w:uiPriority w:val="99"/>
    <w:semiHidden/>
    <w:unhideWhenUsed/>
    <w:rsid w:val="00743073"/>
    <w:rPr>
      <w:color w:val="605E5C"/>
      <w:shd w:val="clear" w:color="auto" w:fill="E1DFDD"/>
    </w:rPr>
  </w:style>
  <w:style w:type="table" w:customStyle="1" w:styleId="TableGrid2">
    <w:name w:val="Table Grid2"/>
    <w:basedOn w:val="TableNormal"/>
    <w:next w:val="TableGrid"/>
    <w:uiPriority w:val="59"/>
    <w:rsid w:val="008717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basedOn w:val="DefaultParagraphFont"/>
    <w:link w:val="ListParagraph"/>
    <w:uiPriority w:val="34"/>
    <w:qFormat/>
    <w:locked/>
    <w:rsid w:val="008717DE"/>
    <w:rPr>
      <w:rFonts w:ascii="Times New Roman" w:eastAsia="Times New Roman" w:hAnsi="Times New Roman"/>
      <w:sz w:val="24"/>
      <w:szCs w:val="24"/>
    </w:rPr>
  </w:style>
  <w:style w:type="character" w:customStyle="1" w:styleId="textview">
    <w:name w:val="textview"/>
    <w:basedOn w:val="DefaultParagraphFont"/>
    <w:rsid w:val="000D527A"/>
  </w:style>
  <w:style w:type="character" w:styleId="CommentReference">
    <w:name w:val="annotation reference"/>
    <w:basedOn w:val="DefaultParagraphFont"/>
    <w:uiPriority w:val="99"/>
    <w:semiHidden/>
    <w:unhideWhenUsed/>
    <w:rsid w:val="006F22A5"/>
    <w:rPr>
      <w:sz w:val="16"/>
      <w:szCs w:val="16"/>
    </w:rPr>
  </w:style>
  <w:style w:type="paragraph" w:styleId="CommentText">
    <w:name w:val="annotation text"/>
    <w:basedOn w:val="Normal"/>
    <w:link w:val="CommentTextChar"/>
    <w:uiPriority w:val="99"/>
    <w:unhideWhenUsed/>
    <w:rsid w:val="006F22A5"/>
    <w:rPr>
      <w:sz w:val="20"/>
      <w:szCs w:val="20"/>
    </w:rPr>
  </w:style>
  <w:style w:type="character" w:customStyle="1" w:styleId="CommentTextChar">
    <w:name w:val="Comment Text Char"/>
    <w:basedOn w:val="DefaultParagraphFont"/>
    <w:link w:val="CommentText"/>
    <w:uiPriority w:val="99"/>
    <w:rsid w:val="006F22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F22A5"/>
    <w:rPr>
      <w:b/>
      <w:bCs/>
    </w:rPr>
  </w:style>
  <w:style w:type="character" w:customStyle="1" w:styleId="CommentSubjectChar">
    <w:name w:val="Comment Subject Char"/>
    <w:basedOn w:val="CommentTextChar"/>
    <w:link w:val="CommentSubject"/>
    <w:uiPriority w:val="99"/>
    <w:semiHidden/>
    <w:rsid w:val="006F22A5"/>
    <w:rPr>
      <w:rFonts w:ascii="Times New Roman" w:eastAsia="Times New Roman" w:hAnsi="Times New Roman"/>
      <w:b/>
      <w:bCs/>
    </w:rPr>
  </w:style>
  <w:style w:type="paragraph" w:styleId="NormalWeb">
    <w:name w:val="Normal (Web)"/>
    <w:basedOn w:val="Normal"/>
    <w:uiPriority w:val="99"/>
    <w:semiHidden/>
    <w:unhideWhenUsed/>
    <w:rsid w:val="00E3700E"/>
    <w:pPr>
      <w:spacing w:before="100" w:beforeAutospacing="1" w:after="100" w:afterAutospacing="1"/>
    </w:pPr>
    <w:rPr>
      <w:lang w:eastAsia="zh-CN"/>
    </w:rPr>
  </w:style>
  <w:style w:type="paragraph" w:customStyle="1" w:styleId="wiki-text">
    <w:name w:val="wiki-text"/>
    <w:basedOn w:val="Normal"/>
    <w:rsid w:val="000A0072"/>
    <w:pPr>
      <w:spacing w:before="100" w:beforeAutospacing="1" w:after="100" w:afterAutospacing="1"/>
    </w:pPr>
    <w:rPr>
      <w:lang w:eastAsia="zh-CN"/>
    </w:rPr>
  </w:style>
  <w:style w:type="character" w:styleId="Strong">
    <w:name w:val="Strong"/>
    <w:basedOn w:val="DefaultParagraphFont"/>
    <w:uiPriority w:val="22"/>
    <w:qFormat/>
    <w:rsid w:val="000A0072"/>
    <w:rPr>
      <w:b/>
      <w:bCs/>
    </w:rPr>
  </w:style>
  <w:style w:type="paragraph" w:customStyle="1" w:styleId="wiki-list-item">
    <w:name w:val="wiki-list-item"/>
    <w:basedOn w:val="Normal"/>
    <w:rsid w:val="000A0072"/>
    <w:pPr>
      <w:spacing w:before="100" w:beforeAutospacing="1" w:after="100" w:afterAutospacing="1"/>
    </w:pPr>
    <w:rPr>
      <w:lang w:eastAsia="zh-CN"/>
    </w:rPr>
  </w:style>
  <w:style w:type="paragraph" w:customStyle="1" w:styleId="GATitleResolution">
    <w:name w:val="GA Title Resolution"/>
    <w:basedOn w:val="Normal"/>
    <w:qFormat/>
    <w:rsid w:val="00155CA7"/>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155CA7"/>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155CA7"/>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1GAPara">
    <w:name w:val="1. GA Para"/>
    <w:qFormat/>
    <w:rsid w:val="005B5CFC"/>
    <w:pPr>
      <w:numPr>
        <w:numId w:val="9"/>
      </w:numPr>
      <w:spacing w:after="120"/>
      <w:ind w:hanging="720"/>
      <w:jc w:val="both"/>
    </w:pPr>
    <w:rPr>
      <w:rFonts w:ascii="Arial" w:eastAsia="DengXian" w:hAnsi="Arial" w:cs="Arial"/>
      <w:snapToGrid w:val="0"/>
      <w:sz w:val="22"/>
      <w:szCs w:val="22"/>
      <w:lang w:val="en-US" w:eastAsia="zh-CN"/>
    </w:rPr>
  </w:style>
  <w:style w:type="character" w:customStyle="1" w:styleId="hps">
    <w:name w:val="hps"/>
    <w:rsid w:val="005B5CFC"/>
  </w:style>
  <w:style w:type="paragraph" w:customStyle="1" w:styleId="Style1">
    <w:name w:val="Style1"/>
    <w:basedOn w:val="Normal"/>
    <w:link w:val="Style1Char"/>
    <w:qFormat/>
    <w:rsid w:val="006B1EF2"/>
    <w:pPr>
      <w:tabs>
        <w:tab w:val="left" w:pos="1134"/>
        <w:tab w:val="left" w:pos="1701"/>
        <w:tab w:val="left" w:pos="2268"/>
      </w:tabs>
      <w:spacing w:before="120" w:after="120"/>
      <w:jc w:val="both"/>
    </w:pPr>
    <w:rPr>
      <w:rFonts w:ascii="Arial" w:hAnsi="Arial" w:cs="Arial"/>
      <w:sz w:val="22"/>
      <w:szCs w:val="22"/>
    </w:rPr>
  </w:style>
  <w:style w:type="character" w:customStyle="1" w:styleId="Style1Char">
    <w:name w:val="Style1 Char"/>
    <w:basedOn w:val="DefaultParagraphFont"/>
    <w:link w:val="Style1"/>
    <w:rsid w:val="006B1EF2"/>
    <w:rPr>
      <w:rFonts w:ascii="Arial" w:eastAsia="Times New Roman" w:hAnsi="Arial" w:cs="Arial"/>
      <w:sz w:val="22"/>
      <w:szCs w:val="22"/>
    </w:rPr>
  </w:style>
  <w:style w:type="character" w:customStyle="1" w:styleId="normaltextrun">
    <w:name w:val="normaltextrun"/>
    <w:basedOn w:val="DefaultParagraphFont"/>
    <w:rsid w:val="007F2BB2"/>
  </w:style>
  <w:style w:type="character" w:customStyle="1" w:styleId="Heading1Char">
    <w:name w:val="Heading 1 Char"/>
    <w:basedOn w:val="DefaultParagraphFont"/>
    <w:link w:val="Heading1"/>
    <w:uiPriority w:val="9"/>
    <w:rsid w:val="00943238"/>
    <w:rPr>
      <w:rFonts w:asciiTheme="majorHAnsi" w:eastAsiaTheme="majorEastAsia" w:hAnsiTheme="majorHAnsi" w:cstheme="majorBidi"/>
      <w:color w:val="365F91" w:themeColor="accent1" w:themeShade="BF"/>
      <w:sz w:val="32"/>
      <w:szCs w:val="32"/>
    </w:rPr>
  </w:style>
  <w:style w:type="paragraph" w:customStyle="1" w:styleId="Bullet1">
    <w:name w:val="Bullet_1"/>
    <w:basedOn w:val="Marge"/>
    <w:link w:val="Bullet1Char"/>
    <w:qFormat/>
    <w:rsid w:val="00FA1373"/>
    <w:pPr>
      <w:numPr>
        <w:numId w:val="21"/>
      </w:numPr>
      <w:tabs>
        <w:tab w:val="clear" w:pos="567"/>
      </w:tabs>
      <w:spacing w:before="240" w:line="360" w:lineRule="auto"/>
    </w:pPr>
    <w:rPr>
      <w:rFonts w:eastAsia="SimSun" w:cs="Arial"/>
      <w:sz w:val="28"/>
      <w:szCs w:val="28"/>
      <w:lang w:val="en-GB" w:eastAsia="zh-CN"/>
    </w:rPr>
  </w:style>
  <w:style w:type="paragraph" w:customStyle="1" w:styleId="Bullet2">
    <w:name w:val="Bullet_2"/>
    <w:basedOn w:val="Marge"/>
    <w:qFormat/>
    <w:rsid w:val="00FA1373"/>
    <w:pPr>
      <w:numPr>
        <w:ilvl w:val="1"/>
        <w:numId w:val="21"/>
      </w:numPr>
      <w:tabs>
        <w:tab w:val="clear" w:pos="567"/>
      </w:tabs>
      <w:spacing w:before="240" w:line="360" w:lineRule="auto"/>
      <w:ind w:left="1134" w:hanging="567"/>
    </w:pPr>
    <w:rPr>
      <w:rFonts w:eastAsia="SimSun" w:cs="Arial"/>
      <w:sz w:val="28"/>
      <w:szCs w:val="28"/>
      <w:lang w:val="en-GB" w:eastAsia="zh-CN"/>
    </w:rPr>
  </w:style>
  <w:style w:type="character" w:customStyle="1" w:styleId="Bullet1Char">
    <w:name w:val="Bullet_1 Char"/>
    <w:link w:val="Bullet1"/>
    <w:rsid w:val="00FA1373"/>
    <w:rPr>
      <w:rFonts w:ascii="Arial" w:hAnsi="Arial" w:cs="Arial"/>
      <w:snapToGrid w:val="0"/>
      <w:sz w:val="28"/>
      <w:szCs w:val="28"/>
      <w:lang w:val="en-GB" w:eastAsia="zh-CN"/>
    </w:rPr>
  </w:style>
  <w:style w:type="paragraph" w:styleId="Revision">
    <w:name w:val="Revision"/>
    <w:hidden/>
    <w:uiPriority w:val="99"/>
    <w:semiHidden/>
    <w:rsid w:val="0001095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1247">
      <w:bodyDiv w:val="1"/>
      <w:marLeft w:val="0"/>
      <w:marRight w:val="0"/>
      <w:marTop w:val="0"/>
      <w:marBottom w:val="0"/>
      <w:divBdr>
        <w:top w:val="none" w:sz="0" w:space="0" w:color="auto"/>
        <w:left w:val="none" w:sz="0" w:space="0" w:color="auto"/>
        <w:bottom w:val="none" w:sz="0" w:space="0" w:color="auto"/>
        <w:right w:val="none" w:sz="0" w:space="0" w:color="auto"/>
      </w:divBdr>
    </w:div>
    <w:div w:id="174810700">
      <w:bodyDiv w:val="1"/>
      <w:marLeft w:val="0"/>
      <w:marRight w:val="0"/>
      <w:marTop w:val="0"/>
      <w:marBottom w:val="0"/>
      <w:divBdr>
        <w:top w:val="none" w:sz="0" w:space="0" w:color="auto"/>
        <w:left w:val="none" w:sz="0" w:space="0" w:color="auto"/>
        <w:bottom w:val="none" w:sz="0" w:space="0" w:color="auto"/>
        <w:right w:val="none" w:sz="0" w:space="0" w:color="auto"/>
      </w:divBdr>
    </w:div>
    <w:div w:id="178593295">
      <w:bodyDiv w:val="1"/>
      <w:marLeft w:val="0"/>
      <w:marRight w:val="0"/>
      <w:marTop w:val="0"/>
      <w:marBottom w:val="0"/>
      <w:divBdr>
        <w:top w:val="none" w:sz="0" w:space="0" w:color="auto"/>
        <w:left w:val="none" w:sz="0" w:space="0" w:color="auto"/>
        <w:bottom w:val="none" w:sz="0" w:space="0" w:color="auto"/>
        <w:right w:val="none" w:sz="0" w:space="0" w:color="auto"/>
      </w:divBdr>
    </w:div>
    <w:div w:id="337732521">
      <w:bodyDiv w:val="1"/>
      <w:marLeft w:val="0"/>
      <w:marRight w:val="0"/>
      <w:marTop w:val="0"/>
      <w:marBottom w:val="0"/>
      <w:divBdr>
        <w:top w:val="none" w:sz="0" w:space="0" w:color="auto"/>
        <w:left w:val="none" w:sz="0" w:space="0" w:color="auto"/>
        <w:bottom w:val="none" w:sz="0" w:space="0" w:color="auto"/>
        <w:right w:val="none" w:sz="0" w:space="0" w:color="auto"/>
      </w:divBdr>
    </w:div>
    <w:div w:id="394402331">
      <w:bodyDiv w:val="1"/>
      <w:marLeft w:val="0"/>
      <w:marRight w:val="0"/>
      <w:marTop w:val="0"/>
      <w:marBottom w:val="0"/>
      <w:divBdr>
        <w:top w:val="none" w:sz="0" w:space="0" w:color="auto"/>
        <w:left w:val="none" w:sz="0" w:space="0" w:color="auto"/>
        <w:bottom w:val="none" w:sz="0" w:space="0" w:color="auto"/>
        <w:right w:val="none" w:sz="0" w:space="0" w:color="auto"/>
      </w:divBdr>
    </w:div>
    <w:div w:id="526022878">
      <w:bodyDiv w:val="1"/>
      <w:marLeft w:val="0"/>
      <w:marRight w:val="0"/>
      <w:marTop w:val="0"/>
      <w:marBottom w:val="0"/>
      <w:divBdr>
        <w:top w:val="none" w:sz="0" w:space="0" w:color="auto"/>
        <w:left w:val="none" w:sz="0" w:space="0" w:color="auto"/>
        <w:bottom w:val="none" w:sz="0" w:space="0" w:color="auto"/>
        <w:right w:val="none" w:sz="0" w:space="0" w:color="auto"/>
      </w:divBdr>
      <w:divsChild>
        <w:div w:id="1227692066">
          <w:marLeft w:val="0"/>
          <w:marRight w:val="0"/>
          <w:marTop w:val="0"/>
          <w:marBottom w:val="0"/>
          <w:divBdr>
            <w:top w:val="none" w:sz="0" w:space="0" w:color="auto"/>
            <w:left w:val="none" w:sz="0" w:space="0" w:color="auto"/>
            <w:bottom w:val="none" w:sz="0" w:space="0" w:color="auto"/>
            <w:right w:val="none" w:sz="0" w:space="0" w:color="auto"/>
          </w:divBdr>
          <w:divsChild>
            <w:div w:id="67650627">
              <w:marLeft w:val="-225"/>
              <w:marRight w:val="-225"/>
              <w:marTop w:val="0"/>
              <w:marBottom w:val="0"/>
              <w:divBdr>
                <w:top w:val="none" w:sz="0" w:space="0" w:color="auto"/>
                <w:left w:val="none" w:sz="0" w:space="0" w:color="auto"/>
                <w:bottom w:val="none" w:sz="0" w:space="0" w:color="auto"/>
                <w:right w:val="none" w:sz="0" w:space="0" w:color="auto"/>
              </w:divBdr>
              <w:divsChild>
                <w:div w:id="1732390388">
                  <w:marLeft w:val="0"/>
                  <w:marRight w:val="0"/>
                  <w:marTop w:val="0"/>
                  <w:marBottom w:val="0"/>
                  <w:divBdr>
                    <w:top w:val="none" w:sz="0" w:space="0" w:color="auto"/>
                    <w:left w:val="none" w:sz="0" w:space="0" w:color="auto"/>
                    <w:bottom w:val="none" w:sz="0" w:space="0" w:color="auto"/>
                    <w:right w:val="none" w:sz="0" w:space="0" w:color="auto"/>
                  </w:divBdr>
                  <w:divsChild>
                    <w:div w:id="5792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6985">
      <w:bodyDiv w:val="1"/>
      <w:marLeft w:val="0"/>
      <w:marRight w:val="0"/>
      <w:marTop w:val="0"/>
      <w:marBottom w:val="0"/>
      <w:divBdr>
        <w:top w:val="none" w:sz="0" w:space="0" w:color="auto"/>
        <w:left w:val="none" w:sz="0" w:space="0" w:color="auto"/>
        <w:bottom w:val="none" w:sz="0" w:space="0" w:color="auto"/>
        <w:right w:val="none" w:sz="0" w:space="0" w:color="auto"/>
      </w:divBdr>
    </w:div>
    <w:div w:id="549878367">
      <w:bodyDiv w:val="1"/>
      <w:marLeft w:val="0"/>
      <w:marRight w:val="0"/>
      <w:marTop w:val="0"/>
      <w:marBottom w:val="0"/>
      <w:divBdr>
        <w:top w:val="none" w:sz="0" w:space="0" w:color="auto"/>
        <w:left w:val="none" w:sz="0" w:space="0" w:color="auto"/>
        <w:bottom w:val="none" w:sz="0" w:space="0" w:color="auto"/>
        <w:right w:val="none" w:sz="0" w:space="0" w:color="auto"/>
      </w:divBdr>
    </w:div>
    <w:div w:id="570771576">
      <w:bodyDiv w:val="1"/>
      <w:marLeft w:val="0"/>
      <w:marRight w:val="0"/>
      <w:marTop w:val="0"/>
      <w:marBottom w:val="0"/>
      <w:divBdr>
        <w:top w:val="none" w:sz="0" w:space="0" w:color="auto"/>
        <w:left w:val="none" w:sz="0" w:space="0" w:color="auto"/>
        <w:bottom w:val="none" w:sz="0" w:space="0" w:color="auto"/>
        <w:right w:val="none" w:sz="0" w:space="0" w:color="auto"/>
      </w:divBdr>
      <w:divsChild>
        <w:div w:id="417599290">
          <w:marLeft w:val="0"/>
          <w:marRight w:val="0"/>
          <w:marTop w:val="0"/>
          <w:marBottom w:val="0"/>
          <w:divBdr>
            <w:top w:val="none" w:sz="0" w:space="0" w:color="auto"/>
            <w:left w:val="none" w:sz="0" w:space="0" w:color="auto"/>
            <w:bottom w:val="none" w:sz="0" w:space="0" w:color="auto"/>
            <w:right w:val="none" w:sz="0" w:space="0" w:color="auto"/>
          </w:divBdr>
          <w:divsChild>
            <w:div w:id="1158963841">
              <w:marLeft w:val="-225"/>
              <w:marRight w:val="-225"/>
              <w:marTop w:val="0"/>
              <w:marBottom w:val="0"/>
              <w:divBdr>
                <w:top w:val="none" w:sz="0" w:space="0" w:color="auto"/>
                <w:left w:val="none" w:sz="0" w:space="0" w:color="auto"/>
                <w:bottom w:val="none" w:sz="0" w:space="0" w:color="auto"/>
                <w:right w:val="none" w:sz="0" w:space="0" w:color="auto"/>
              </w:divBdr>
              <w:divsChild>
                <w:div w:id="1001274154">
                  <w:marLeft w:val="0"/>
                  <w:marRight w:val="0"/>
                  <w:marTop w:val="0"/>
                  <w:marBottom w:val="0"/>
                  <w:divBdr>
                    <w:top w:val="none" w:sz="0" w:space="0" w:color="auto"/>
                    <w:left w:val="none" w:sz="0" w:space="0" w:color="auto"/>
                    <w:bottom w:val="none" w:sz="0" w:space="0" w:color="auto"/>
                    <w:right w:val="none" w:sz="0" w:space="0" w:color="auto"/>
                  </w:divBdr>
                  <w:divsChild>
                    <w:div w:id="12340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5184">
      <w:bodyDiv w:val="1"/>
      <w:marLeft w:val="0"/>
      <w:marRight w:val="0"/>
      <w:marTop w:val="0"/>
      <w:marBottom w:val="0"/>
      <w:divBdr>
        <w:top w:val="none" w:sz="0" w:space="0" w:color="auto"/>
        <w:left w:val="none" w:sz="0" w:space="0" w:color="auto"/>
        <w:bottom w:val="none" w:sz="0" w:space="0" w:color="auto"/>
        <w:right w:val="none" w:sz="0" w:space="0" w:color="auto"/>
      </w:divBdr>
    </w:div>
    <w:div w:id="715550073">
      <w:bodyDiv w:val="1"/>
      <w:marLeft w:val="0"/>
      <w:marRight w:val="0"/>
      <w:marTop w:val="0"/>
      <w:marBottom w:val="0"/>
      <w:divBdr>
        <w:top w:val="none" w:sz="0" w:space="0" w:color="auto"/>
        <w:left w:val="none" w:sz="0" w:space="0" w:color="auto"/>
        <w:bottom w:val="none" w:sz="0" w:space="0" w:color="auto"/>
        <w:right w:val="none" w:sz="0" w:space="0" w:color="auto"/>
      </w:divBdr>
    </w:div>
    <w:div w:id="76592547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65755117">
      <w:bodyDiv w:val="1"/>
      <w:marLeft w:val="0"/>
      <w:marRight w:val="0"/>
      <w:marTop w:val="0"/>
      <w:marBottom w:val="0"/>
      <w:divBdr>
        <w:top w:val="none" w:sz="0" w:space="0" w:color="auto"/>
        <w:left w:val="none" w:sz="0" w:space="0" w:color="auto"/>
        <w:bottom w:val="none" w:sz="0" w:space="0" w:color="auto"/>
        <w:right w:val="none" w:sz="0" w:space="0" w:color="auto"/>
      </w:divBdr>
    </w:div>
    <w:div w:id="993415900">
      <w:bodyDiv w:val="1"/>
      <w:marLeft w:val="0"/>
      <w:marRight w:val="0"/>
      <w:marTop w:val="0"/>
      <w:marBottom w:val="0"/>
      <w:divBdr>
        <w:top w:val="none" w:sz="0" w:space="0" w:color="auto"/>
        <w:left w:val="none" w:sz="0" w:space="0" w:color="auto"/>
        <w:bottom w:val="none" w:sz="0" w:space="0" w:color="auto"/>
        <w:right w:val="none" w:sz="0" w:space="0" w:color="auto"/>
      </w:divBdr>
    </w:div>
    <w:div w:id="1015763351">
      <w:bodyDiv w:val="1"/>
      <w:marLeft w:val="0"/>
      <w:marRight w:val="0"/>
      <w:marTop w:val="0"/>
      <w:marBottom w:val="0"/>
      <w:divBdr>
        <w:top w:val="none" w:sz="0" w:space="0" w:color="auto"/>
        <w:left w:val="none" w:sz="0" w:space="0" w:color="auto"/>
        <w:bottom w:val="none" w:sz="0" w:space="0" w:color="auto"/>
        <w:right w:val="none" w:sz="0" w:space="0" w:color="auto"/>
      </w:divBdr>
    </w:div>
    <w:div w:id="1044450946">
      <w:bodyDiv w:val="1"/>
      <w:marLeft w:val="0"/>
      <w:marRight w:val="0"/>
      <w:marTop w:val="0"/>
      <w:marBottom w:val="0"/>
      <w:divBdr>
        <w:top w:val="none" w:sz="0" w:space="0" w:color="auto"/>
        <w:left w:val="none" w:sz="0" w:space="0" w:color="auto"/>
        <w:bottom w:val="none" w:sz="0" w:space="0" w:color="auto"/>
        <w:right w:val="none" w:sz="0" w:space="0" w:color="auto"/>
      </w:divBdr>
      <w:divsChild>
        <w:div w:id="978074967">
          <w:marLeft w:val="0"/>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3013791">
      <w:bodyDiv w:val="1"/>
      <w:marLeft w:val="0"/>
      <w:marRight w:val="0"/>
      <w:marTop w:val="0"/>
      <w:marBottom w:val="0"/>
      <w:divBdr>
        <w:top w:val="none" w:sz="0" w:space="0" w:color="auto"/>
        <w:left w:val="none" w:sz="0" w:space="0" w:color="auto"/>
        <w:bottom w:val="none" w:sz="0" w:space="0" w:color="auto"/>
        <w:right w:val="none" w:sz="0" w:space="0" w:color="auto"/>
      </w:divBdr>
      <w:divsChild>
        <w:div w:id="1477722364">
          <w:marLeft w:val="0"/>
          <w:marRight w:val="0"/>
          <w:marTop w:val="0"/>
          <w:marBottom w:val="0"/>
          <w:divBdr>
            <w:top w:val="none" w:sz="0" w:space="0" w:color="auto"/>
            <w:left w:val="none" w:sz="0" w:space="0" w:color="auto"/>
            <w:bottom w:val="none" w:sz="0" w:space="0" w:color="auto"/>
            <w:right w:val="none" w:sz="0" w:space="0" w:color="auto"/>
          </w:divBdr>
        </w:div>
      </w:divsChild>
    </w:div>
    <w:div w:id="1248689887">
      <w:bodyDiv w:val="1"/>
      <w:marLeft w:val="0"/>
      <w:marRight w:val="0"/>
      <w:marTop w:val="0"/>
      <w:marBottom w:val="0"/>
      <w:divBdr>
        <w:top w:val="none" w:sz="0" w:space="0" w:color="auto"/>
        <w:left w:val="none" w:sz="0" w:space="0" w:color="auto"/>
        <w:bottom w:val="none" w:sz="0" w:space="0" w:color="auto"/>
        <w:right w:val="none" w:sz="0" w:space="0" w:color="auto"/>
      </w:divBdr>
    </w:div>
    <w:div w:id="1344018168">
      <w:bodyDiv w:val="1"/>
      <w:marLeft w:val="0"/>
      <w:marRight w:val="0"/>
      <w:marTop w:val="0"/>
      <w:marBottom w:val="0"/>
      <w:divBdr>
        <w:top w:val="none" w:sz="0" w:space="0" w:color="auto"/>
        <w:left w:val="none" w:sz="0" w:space="0" w:color="auto"/>
        <w:bottom w:val="none" w:sz="0" w:space="0" w:color="auto"/>
        <w:right w:val="none" w:sz="0" w:space="0" w:color="auto"/>
      </w:divBdr>
    </w:div>
    <w:div w:id="1375739429">
      <w:bodyDiv w:val="1"/>
      <w:marLeft w:val="0"/>
      <w:marRight w:val="0"/>
      <w:marTop w:val="0"/>
      <w:marBottom w:val="0"/>
      <w:divBdr>
        <w:top w:val="none" w:sz="0" w:space="0" w:color="auto"/>
        <w:left w:val="none" w:sz="0" w:space="0" w:color="auto"/>
        <w:bottom w:val="none" w:sz="0" w:space="0" w:color="auto"/>
        <w:right w:val="none" w:sz="0" w:space="0" w:color="auto"/>
      </w:divBdr>
    </w:div>
    <w:div w:id="1390378602">
      <w:bodyDiv w:val="1"/>
      <w:marLeft w:val="0"/>
      <w:marRight w:val="0"/>
      <w:marTop w:val="0"/>
      <w:marBottom w:val="0"/>
      <w:divBdr>
        <w:top w:val="none" w:sz="0" w:space="0" w:color="auto"/>
        <w:left w:val="none" w:sz="0" w:space="0" w:color="auto"/>
        <w:bottom w:val="none" w:sz="0" w:space="0" w:color="auto"/>
        <w:right w:val="none" w:sz="0" w:space="0" w:color="auto"/>
      </w:divBdr>
    </w:div>
    <w:div w:id="1433697965">
      <w:bodyDiv w:val="1"/>
      <w:marLeft w:val="0"/>
      <w:marRight w:val="0"/>
      <w:marTop w:val="0"/>
      <w:marBottom w:val="0"/>
      <w:divBdr>
        <w:top w:val="none" w:sz="0" w:space="0" w:color="auto"/>
        <w:left w:val="none" w:sz="0" w:space="0" w:color="auto"/>
        <w:bottom w:val="none" w:sz="0" w:space="0" w:color="auto"/>
        <w:right w:val="none" w:sz="0" w:space="0" w:color="auto"/>
      </w:divBdr>
    </w:div>
    <w:div w:id="1486896338">
      <w:bodyDiv w:val="1"/>
      <w:marLeft w:val="0"/>
      <w:marRight w:val="0"/>
      <w:marTop w:val="0"/>
      <w:marBottom w:val="0"/>
      <w:divBdr>
        <w:top w:val="none" w:sz="0" w:space="0" w:color="auto"/>
        <w:left w:val="none" w:sz="0" w:space="0" w:color="auto"/>
        <w:bottom w:val="none" w:sz="0" w:space="0" w:color="auto"/>
        <w:right w:val="none" w:sz="0" w:space="0" w:color="auto"/>
      </w:divBdr>
    </w:div>
    <w:div w:id="1552034004">
      <w:bodyDiv w:val="1"/>
      <w:marLeft w:val="0"/>
      <w:marRight w:val="0"/>
      <w:marTop w:val="0"/>
      <w:marBottom w:val="0"/>
      <w:divBdr>
        <w:top w:val="none" w:sz="0" w:space="0" w:color="auto"/>
        <w:left w:val="none" w:sz="0" w:space="0" w:color="auto"/>
        <w:bottom w:val="none" w:sz="0" w:space="0" w:color="auto"/>
        <w:right w:val="none" w:sz="0" w:space="0" w:color="auto"/>
      </w:divBdr>
      <w:divsChild>
        <w:div w:id="2127501377">
          <w:marLeft w:val="0"/>
          <w:marRight w:val="0"/>
          <w:marTop w:val="0"/>
          <w:marBottom w:val="0"/>
          <w:divBdr>
            <w:top w:val="none" w:sz="0" w:space="0" w:color="auto"/>
            <w:left w:val="none" w:sz="0" w:space="0" w:color="auto"/>
            <w:bottom w:val="none" w:sz="0" w:space="0" w:color="auto"/>
            <w:right w:val="none" w:sz="0" w:space="0" w:color="auto"/>
          </w:divBdr>
          <w:divsChild>
            <w:div w:id="839613836">
              <w:marLeft w:val="-225"/>
              <w:marRight w:val="-225"/>
              <w:marTop w:val="0"/>
              <w:marBottom w:val="0"/>
              <w:divBdr>
                <w:top w:val="none" w:sz="0" w:space="0" w:color="auto"/>
                <w:left w:val="none" w:sz="0" w:space="0" w:color="auto"/>
                <w:bottom w:val="none" w:sz="0" w:space="0" w:color="auto"/>
                <w:right w:val="none" w:sz="0" w:space="0" w:color="auto"/>
              </w:divBdr>
              <w:divsChild>
                <w:div w:id="788208286">
                  <w:marLeft w:val="0"/>
                  <w:marRight w:val="0"/>
                  <w:marTop w:val="0"/>
                  <w:marBottom w:val="0"/>
                  <w:divBdr>
                    <w:top w:val="none" w:sz="0" w:space="0" w:color="auto"/>
                    <w:left w:val="none" w:sz="0" w:space="0" w:color="auto"/>
                    <w:bottom w:val="none" w:sz="0" w:space="0" w:color="auto"/>
                    <w:right w:val="none" w:sz="0" w:space="0" w:color="auto"/>
                  </w:divBdr>
                  <w:divsChild>
                    <w:div w:id="13737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44967948">
      <w:bodyDiv w:val="1"/>
      <w:marLeft w:val="0"/>
      <w:marRight w:val="0"/>
      <w:marTop w:val="0"/>
      <w:marBottom w:val="0"/>
      <w:divBdr>
        <w:top w:val="none" w:sz="0" w:space="0" w:color="auto"/>
        <w:left w:val="none" w:sz="0" w:space="0" w:color="auto"/>
        <w:bottom w:val="none" w:sz="0" w:space="0" w:color="auto"/>
        <w:right w:val="none" w:sz="0" w:space="0" w:color="auto"/>
      </w:divBdr>
    </w:div>
    <w:div w:id="1661344972">
      <w:bodyDiv w:val="1"/>
      <w:marLeft w:val="0"/>
      <w:marRight w:val="0"/>
      <w:marTop w:val="0"/>
      <w:marBottom w:val="0"/>
      <w:divBdr>
        <w:top w:val="none" w:sz="0" w:space="0" w:color="auto"/>
        <w:left w:val="none" w:sz="0" w:space="0" w:color="auto"/>
        <w:bottom w:val="none" w:sz="0" w:space="0" w:color="auto"/>
        <w:right w:val="none" w:sz="0" w:space="0" w:color="auto"/>
      </w:divBdr>
      <w:divsChild>
        <w:div w:id="117841275">
          <w:marLeft w:val="0"/>
          <w:marRight w:val="0"/>
          <w:marTop w:val="0"/>
          <w:marBottom w:val="0"/>
          <w:divBdr>
            <w:top w:val="none" w:sz="0" w:space="0" w:color="auto"/>
            <w:left w:val="none" w:sz="0" w:space="0" w:color="auto"/>
            <w:bottom w:val="none" w:sz="0" w:space="0" w:color="auto"/>
            <w:right w:val="none" w:sz="0" w:space="0" w:color="auto"/>
          </w:divBdr>
          <w:divsChild>
            <w:div w:id="1470201515">
              <w:marLeft w:val="-225"/>
              <w:marRight w:val="-225"/>
              <w:marTop w:val="0"/>
              <w:marBottom w:val="0"/>
              <w:divBdr>
                <w:top w:val="none" w:sz="0" w:space="0" w:color="auto"/>
                <w:left w:val="none" w:sz="0" w:space="0" w:color="auto"/>
                <w:bottom w:val="none" w:sz="0" w:space="0" w:color="auto"/>
                <w:right w:val="none" w:sz="0" w:space="0" w:color="auto"/>
              </w:divBdr>
              <w:divsChild>
                <w:div w:id="386802859">
                  <w:marLeft w:val="0"/>
                  <w:marRight w:val="0"/>
                  <w:marTop w:val="0"/>
                  <w:marBottom w:val="0"/>
                  <w:divBdr>
                    <w:top w:val="none" w:sz="0" w:space="0" w:color="auto"/>
                    <w:left w:val="none" w:sz="0" w:space="0" w:color="auto"/>
                    <w:bottom w:val="none" w:sz="0" w:space="0" w:color="auto"/>
                    <w:right w:val="none" w:sz="0" w:space="0" w:color="auto"/>
                  </w:divBdr>
                  <w:divsChild>
                    <w:div w:id="9445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3390">
      <w:bodyDiv w:val="1"/>
      <w:marLeft w:val="0"/>
      <w:marRight w:val="0"/>
      <w:marTop w:val="0"/>
      <w:marBottom w:val="0"/>
      <w:divBdr>
        <w:top w:val="none" w:sz="0" w:space="0" w:color="auto"/>
        <w:left w:val="none" w:sz="0" w:space="0" w:color="auto"/>
        <w:bottom w:val="none" w:sz="0" w:space="0" w:color="auto"/>
        <w:right w:val="none" w:sz="0" w:space="0" w:color="auto"/>
      </w:divBdr>
    </w:div>
    <w:div w:id="1816530764">
      <w:bodyDiv w:val="1"/>
      <w:marLeft w:val="0"/>
      <w:marRight w:val="0"/>
      <w:marTop w:val="0"/>
      <w:marBottom w:val="0"/>
      <w:divBdr>
        <w:top w:val="none" w:sz="0" w:space="0" w:color="auto"/>
        <w:left w:val="none" w:sz="0" w:space="0" w:color="auto"/>
        <w:bottom w:val="none" w:sz="0" w:space="0" w:color="auto"/>
        <w:right w:val="none" w:sz="0" w:space="0" w:color="auto"/>
      </w:divBdr>
    </w:div>
    <w:div w:id="183529508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5532245">
      <w:bodyDiv w:val="1"/>
      <w:marLeft w:val="0"/>
      <w:marRight w:val="0"/>
      <w:marTop w:val="0"/>
      <w:marBottom w:val="0"/>
      <w:divBdr>
        <w:top w:val="none" w:sz="0" w:space="0" w:color="auto"/>
        <w:left w:val="none" w:sz="0" w:space="0" w:color="auto"/>
        <w:bottom w:val="none" w:sz="0" w:space="0" w:color="auto"/>
        <w:right w:val="none" w:sz="0" w:space="0" w:color="auto"/>
      </w:divBdr>
      <w:divsChild>
        <w:div w:id="815491078">
          <w:marLeft w:val="0"/>
          <w:marRight w:val="0"/>
          <w:marTop w:val="0"/>
          <w:marBottom w:val="0"/>
          <w:divBdr>
            <w:top w:val="none" w:sz="0" w:space="0" w:color="auto"/>
            <w:left w:val="none" w:sz="0" w:space="0" w:color="auto"/>
            <w:bottom w:val="none" w:sz="0" w:space="0" w:color="auto"/>
            <w:right w:val="none" w:sz="0" w:space="0" w:color="auto"/>
          </w:divBdr>
          <w:divsChild>
            <w:div w:id="978730076">
              <w:marLeft w:val="-225"/>
              <w:marRight w:val="-225"/>
              <w:marTop w:val="0"/>
              <w:marBottom w:val="0"/>
              <w:divBdr>
                <w:top w:val="none" w:sz="0" w:space="0" w:color="auto"/>
                <w:left w:val="none" w:sz="0" w:space="0" w:color="auto"/>
                <w:bottom w:val="none" w:sz="0" w:space="0" w:color="auto"/>
                <w:right w:val="none" w:sz="0" w:space="0" w:color="auto"/>
              </w:divBdr>
              <w:divsChild>
                <w:div w:id="1476144643">
                  <w:marLeft w:val="0"/>
                  <w:marRight w:val="0"/>
                  <w:marTop w:val="0"/>
                  <w:marBottom w:val="0"/>
                  <w:divBdr>
                    <w:top w:val="none" w:sz="0" w:space="0" w:color="auto"/>
                    <w:left w:val="none" w:sz="0" w:space="0" w:color="auto"/>
                    <w:bottom w:val="none" w:sz="0" w:space="0" w:color="auto"/>
                    <w:right w:val="none" w:sz="0" w:space="0" w:color="auto"/>
                  </w:divBdr>
                  <w:divsChild>
                    <w:div w:id="5252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5789">
      <w:bodyDiv w:val="1"/>
      <w:marLeft w:val="0"/>
      <w:marRight w:val="0"/>
      <w:marTop w:val="0"/>
      <w:marBottom w:val="0"/>
      <w:divBdr>
        <w:top w:val="none" w:sz="0" w:space="0" w:color="auto"/>
        <w:left w:val="none" w:sz="0" w:space="0" w:color="auto"/>
        <w:bottom w:val="none" w:sz="0" w:space="0" w:color="auto"/>
        <w:right w:val="none" w:sz="0" w:space="0" w:color="auto"/>
      </w:divBdr>
      <w:divsChild>
        <w:div w:id="1681660952">
          <w:marLeft w:val="0"/>
          <w:marRight w:val="0"/>
          <w:marTop w:val="0"/>
          <w:marBottom w:val="0"/>
          <w:divBdr>
            <w:top w:val="none" w:sz="0" w:space="0" w:color="auto"/>
            <w:left w:val="none" w:sz="0" w:space="0" w:color="auto"/>
            <w:bottom w:val="none" w:sz="0" w:space="0" w:color="auto"/>
            <w:right w:val="none" w:sz="0" w:space="0" w:color="auto"/>
          </w:divBdr>
          <w:divsChild>
            <w:div w:id="615022050">
              <w:marLeft w:val="-225"/>
              <w:marRight w:val="-225"/>
              <w:marTop w:val="0"/>
              <w:marBottom w:val="0"/>
              <w:divBdr>
                <w:top w:val="none" w:sz="0" w:space="0" w:color="auto"/>
                <w:left w:val="none" w:sz="0" w:space="0" w:color="auto"/>
                <w:bottom w:val="none" w:sz="0" w:space="0" w:color="auto"/>
                <w:right w:val="none" w:sz="0" w:space="0" w:color="auto"/>
              </w:divBdr>
              <w:divsChild>
                <w:div w:id="116068494">
                  <w:marLeft w:val="0"/>
                  <w:marRight w:val="0"/>
                  <w:marTop w:val="0"/>
                  <w:marBottom w:val="0"/>
                  <w:divBdr>
                    <w:top w:val="none" w:sz="0" w:space="0" w:color="auto"/>
                    <w:left w:val="none" w:sz="0" w:space="0" w:color="auto"/>
                    <w:bottom w:val="none" w:sz="0" w:space="0" w:color="auto"/>
                    <w:right w:val="none" w:sz="0" w:space="0" w:color="auto"/>
                  </w:divBdr>
                  <w:divsChild>
                    <w:div w:id="12303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47541222">
      <w:bodyDiv w:val="1"/>
      <w:marLeft w:val="0"/>
      <w:marRight w:val="0"/>
      <w:marTop w:val="0"/>
      <w:marBottom w:val="0"/>
      <w:divBdr>
        <w:top w:val="none" w:sz="0" w:space="0" w:color="auto"/>
        <w:left w:val="none" w:sz="0" w:space="0" w:color="auto"/>
        <w:bottom w:val="none" w:sz="0" w:space="0" w:color="auto"/>
        <w:right w:val="none" w:sz="0" w:space="0" w:color="auto"/>
      </w:divBdr>
    </w:div>
    <w:div w:id="2025474695">
      <w:bodyDiv w:val="1"/>
      <w:marLeft w:val="0"/>
      <w:marRight w:val="0"/>
      <w:marTop w:val="0"/>
      <w:marBottom w:val="0"/>
      <w:divBdr>
        <w:top w:val="none" w:sz="0" w:space="0" w:color="auto"/>
        <w:left w:val="none" w:sz="0" w:space="0" w:color="auto"/>
        <w:bottom w:val="none" w:sz="0" w:space="0" w:color="auto"/>
        <w:right w:val="none" w:sz="0" w:space="0" w:color="auto"/>
      </w:divBdr>
    </w:div>
    <w:div w:id="2071877118">
      <w:bodyDiv w:val="1"/>
      <w:marLeft w:val="0"/>
      <w:marRight w:val="0"/>
      <w:marTop w:val="0"/>
      <w:marBottom w:val="0"/>
      <w:divBdr>
        <w:top w:val="none" w:sz="0" w:space="0" w:color="auto"/>
        <w:left w:val="none" w:sz="0" w:space="0" w:color="auto"/>
        <w:bottom w:val="none" w:sz="0" w:space="0" w:color="auto"/>
        <w:right w:val="none" w:sz="0" w:space="0" w:color="auto"/>
      </w:divBdr>
    </w:div>
    <w:div w:id="211485872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 w:id="2144231422">
      <w:bodyDiv w:val="1"/>
      <w:marLeft w:val="0"/>
      <w:marRight w:val="0"/>
      <w:marTop w:val="0"/>
      <w:marBottom w:val="0"/>
      <w:divBdr>
        <w:top w:val="none" w:sz="0" w:space="0" w:color="auto"/>
        <w:left w:val="none" w:sz="0" w:space="0" w:color="auto"/>
        <w:bottom w:val="none" w:sz="0" w:space="0" w:color="auto"/>
        <w:right w:val="none" w:sz="0" w:space="0" w:color="auto"/>
      </w:divBdr>
      <w:divsChild>
        <w:div w:id="1861966780">
          <w:marLeft w:val="0"/>
          <w:marRight w:val="0"/>
          <w:marTop w:val="0"/>
          <w:marBottom w:val="0"/>
          <w:divBdr>
            <w:top w:val="none" w:sz="0" w:space="0" w:color="auto"/>
            <w:left w:val="none" w:sz="0" w:space="0" w:color="auto"/>
            <w:bottom w:val="none" w:sz="0" w:space="0" w:color="auto"/>
            <w:right w:val="none" w:sz="0" w:space="0" w:color="auto"/>
          </w:divBdr>
          <w:divsChild>
            <w:div w:id="924412691">
              <w:marLeft w:val="-225"/>
              <w:marRight w:val="-225"/>
              <w:marTop w:val="0"/>
              <w:marBottom w:val="0"/>
              <w:divBdr>
                <w:top w:val="none" w:sz="0" w:space="0" w:color="auto"/>
                <w:left w:val="none" w:sz="0" w:space="0" w:color="auto"/>
                <w:bottom w:val="none" w:sz="0" w:space="0" w:color="auto"/>
                <w:right w:val="none" w:sz="0" w:space="0" w:color="auto"/>
              </w:divBdr>
              <w:divsChild>
                <w:div w:id="55737648">
                  <w:marLeft w:val="0"/>
                  <w:marRight w:val="0"/>
                  <w:marTop w:val="0"/>
                  <w:marBottom w:val="0"/>
                  <w:divBdr>
                    <w:top w:val="none" w:sz="0" w:space="0" w:color="auto"/>
                    <w:left w:val="none" w:sz="0" w:space="0" w:color="auto"/>
                    <w:bottom w:val="none" w:sz="0" w:space="0" w:color="auto"/>
                    <w:right w:val="none" w:sz="0" w:space="0" w:color="auto"/>
                  </w:divBdr>
                  <w:divsChild>
                    <w:div w:id="17119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1-16.COM-INF.10_Rev.-EN.pdf" TargetMode="External"/><Relationship Id="rId18" Type="http://schemas.openxmlformats.org/officeDocument/2006/relationships/hyperlink" Target="https://ich.unesco.org/en/Decisions/5.EXT.COM/4" TargetMode="External"/><Relationship Id="rId26" Type="http://schemas.openxmlformats.org/officeDocument/2006/relationships/hyperlink" Target="https://ich.unesco.org/en/Decisions/8.GA/15" TargetMode="External"/><Relationship Id="rId39" Type="http://schemas.openxmlformats.org/officeDocument/2006/relationships/hyperlink" Target="https://ich.unesco.org/en/Decisions/8.GA/9" TargetMode="External"/><Relationship Id="rId21" Type="http://schemas.openxmlformats.org/officeDocument/2006/relationships/hyperlink" Target="https://unesdoc.unesco.org/ark:/48223/pf0000243325/PDF/243325eng.pdf.multi.page=85&amp;zoom=auto,-16,144" TargetMode="External"/><Relationship Id="rId34" Type="http://schemas.openxmlformats.org/officeDocument/2006/relationships/hyperlink" Target="https://ich.unesco.org/en/Decisions/9.GA/7" TargetMode="External"/><Relationship Id="rId42" Type="http://schemas.openxmlformats.org/officeDocument/2006/relationships/hyperlink" Target="https://ich.unesco.org/en/d%C3%A9cisions/5.EXT.COM/5?dec=decisions&amp;ref_decision=5.EXT.COM" TargetMode="External"/><Relationship Id="rId47" Type="http://schemas.openxmlformats.org/officeDocument/2006/relationships/hyperlink" Target="https://ich.unesco.org/doc/src/LHE-22-17.COM-6.a-EN.docx" TargetMode="External"/><Relationship Id="rId50" Type="http://schemas.openxmlformats.org/officeDocument/2006/relationships/hyperlink" Target="https://ich.unesco.org/en/d%C3%A9cisions/5.EXT.COM/5?dec=decisions&amp;ref_decision=5.EXT.COM" TargetMode="External"/><Relationship Id="rId55" Type="http://schemas.openxmlformats.org/officeDocument/2006/relationships/hyperlink" Target="https://unesdoc.unesco.org/ark:/48223/pf0000383055" TargetMode="External"/><Relationship Id="rId7" Type="http://schemas.openxmlformats.org/officeDocument/2006/relationships/settings" Target="settings.xml"/><Relationship Id="rId12" Type="http://schemas.openxmlformats.org/officeDocument/2006/relationships/hyperlink" Target="https://unesdoc.unesco.org/ark:/48223/pf0000380868" TargetMode="External"/><Relationship Id="rId17" Type="http://schemas.openxmlformats.org/officeDocument/2006/relationships/hyperlink" Target="https://ich.unesco.org/en/Decisions/16.COM/14" TargetMode="External"/><Relationship Id="rId25" Type="http://schemas.openxmlformats.org/officeDocument/2006/relationships/hyperlink" Target="https://ich.unesco.org/en/Decisions/7.GA/13" TargetMode="External"/><Relationship Id="rId33" Type="http://schemas.openxmlformats.org/officeDocument/2006/relationships/hyperlink" Target="https://ich.unesco.org/doc/src/LHE-22-17.COM-11-EN.docx" TargetMode="External"/><Relationship Id="rId38" Type="http://schemas.openxmlformats.org/officeDocument/2006/relationships/hyperlink" Target="https://ich.unesco.org/doc/src/LHE-22-9.GA-13_EN.docx" TargetMode="External"/><Relationship Id="rId46" Type="http://schemas.openxmlformats.org/officeDocument/2006/relationships/hyperlink" Target="https://ich.unesco.org/en/clearinghouse-education"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h.unesco.org/en/schedule-of-statutory-meetings-in-2022-01237" TargetMode="External"/><Relationship Id="rId20" Type="http://schemas.openxmlformats.org/officeDocument/2006/relationships/hyperlink" Target="https://ich.unesco.org/doc/src/LHE-22-17.COM-10-EN.docx" TargetMode="External"/><Relationship Id="rId29" Type="http://schemas.openxmlformats.org/officeDocument/2006/relationships/hyperlink" Target="https://unesdoc.unesco.org/in/documentViewer.xhtml?v=2.1.196&amp;id=p::usmarcdef_0000380399&amp;highlight=41%20C%2FResolution&amp;file=/in/rest/annotationSVC/DownloadWatermarkedAttachment/attach_import_2662b8f8-b83f-4490-be3c-ffb66eaed78c%3F_%3D380399eng.pdf&amp;locale=en&amp;multi=true&amp;ark=/ark:/48223/pf0000380399/PDF/380399eng.pdf" TargetMode="External"/><Relationship Id="rId41" Type="http://schemas.openxmlformats.org/officeDocument/2006/relationships/hyperlink" Target="https://ich.unesco.org/doc/src/LHE-22-17.COM_4.BUR-5-EN.docx" TargetMode="External"/><Relationship Id="rId54" Type="http://schemas.openxmlformats.org/officeDocument/2006/relationships/hyperlink" Target="https://ich.unesco.org/en/d%C3%A9cisions/5.EXT.COM/5?dec=decisions&amp;ref_decision=5.EX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382589_eng" TargetMode="External"/><Relationship Id="rId24" Type="http://schemas.openxmlformats.org/officeDocument/2006/relationships/hyperlink" Target="https://ich.unesco.org/en/r%C3%A9solutions/7.GA/12?dec=resolutions&amp;ref_decision=7.GA" TargetMode="External"/><Relationship Id="rId32" Type="http://schemas.openxmlformats.org/officeDocument/2006/relationships/hyperlink" Target="https://ich.unesco.org/doc/src/LHE-22-17.COM-6.d-EN.docx" TargetMode="External"/><Relationship Id="rId37" Type="http://schemas.openxmlformats.org/officeDocument/2006/relationships/hyperlink" Target="https://ich.unesco.org/en/Decisions/9.GA/13" TargetMode="External"/><Relationship Id="rId40" Type="http://schemas.openxmlformats.org/officeDocument/2006/relationships/hyperlink" Target="https://ich.unesco.org/en/decisions-bureau/17.COM%203.BUR/3?dec=decisions-bureau&amp;ref_decision=17.COM+3.BUR" TargetMode="External"/><Relationship Id="rId45" Type="http://schemas.openxmlformats.org/officeDocument/2006/relationships/hyperlink" Target="https://unesdoc.unesco.org/ark:/48223/pf0000383055" TargetMode="External"/><Relationship Id="rId53" Type="http://schemas.openxmlformats.org/officeDocument/2006/relationships/hyperlink" Target="https://unesdoc.unesco.org/ark:/48223/pf0000382472"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ch.unesco.org/doc/src/LHE-21-16.COM-INF.10_Rev.-EN.pdf" TargetMode="External"/><Relationship Id="rId23" Type="http://schemas.openxmlformats.org/officeDocument/2006/relationships/hyperlink" Target="https://ich.unesco.org/en/r%C3%A9solutions/6.GA/11?dec=resolutions&amp;ref_decision=6.GA" TargetMode="External"/><Relationship Id="rId28" Type="http://schemas.openxmlformats.org/officeDocument/2006/relationships/hyperlink" Target="https://ich.unesco.org/en/Decisions/14.COM/19" TargetMode="External"/><Relationship Id="rId36" Type="http://schemas.openxmlformats.org/officeDocument/2006/relationships/hyperlink" Target="https://ich.unesco.org/doc/src/LHE-22-17.COM-13-EN.docx" TargetMode="External"/><Relationship Id="rId49" Type="http://schemas.openxmlformats.org/officeDocument/2006/relationships/hyperlink" Target="https://ich.unesco.org/doc/src/LHE-22-17.COM-6.c-EN.docx" TargetMode="External"/><Relationship Id="rId57"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ch.unesco.org/en/Decisions/9.GA/9" TargetMode="External"/><Relationship Id="rId31" Type="http://schemas.openxmlformats.org/officeDocument/2006/relationships/hyperlink" Target="https://ich.unesco.org/doc/src/53724-EN.pdf" TargetMode="External"/><Relationship Id="rId44" Type="http://schemas.openxmlformats.org/officeDocument/2006/relationships/hyperlink" Target="https://ich.unesco.org/en/Decisions/16.COM/12" TargetMode="External"/><Relationship Id="rId52" Type="http://schemas.openxmlformats.org/officeDocument/2006/relationships/hyperlink" Target="https://unesdoc.unesco.org/ark:/48223/pf0000376144"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h.unesco.org/doc/src/LHE-21-16.COM-10_Rev.-EN.docx" TargetMode="External"/><Relationship Id="rId22" Type="http://schemas.openxmlformats.org/officeDocument/2006/relationships/hyperlink" Target="https://unesdoc.unesco.org/ark:/48223/pf0000260889/PDF/260889eng.pdf.multi" TargetMode="External"/><Relationship Id="rId27" Type="http://schemas.openxmlformats.org/officeDocument/2006/relationships/hyperlink" Target="https://ich.unesco.org/en/d%C3%A9cisions/13.COM/17?dec=decisions&amp;ref_decision=13.COM" TargetMode="External"/><Relationship Id="rId30" Type="http://schemas.openxmlformats.org/officeDocument/2006/relationships/hyperlink" Target="https://ich.unesco.org/en/Decisions/9.GA/12" TargetMode="External"/><Relationship Id="rId35" Type="http://schemas.openxmlformats.org/officeDocument/2006/relationships/hyperlink" Target="https://ich.unesco.org/doc/src/LHE-22-17.COM-9-EN.docx" TargetMode="External"/><Relationship Id="rId43" Type="http://schemas.openxmlformats.org/officeDocument/2006/relationships/hyperlink" Target="https://ich.unesco.org/en/Decisions/16.COM/12" TargetMode="External"/><Relationship Id="rId48" Type="http://schemas.openxmlformats.org/officeDocument/2006/relationships/hyperlink" Target="https://ich.unesco.org/doc/src/LHE-22-17.COM-6.b-EN.docx"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ich.unesco.org/doc/src/LHE-22-17.COM-13-EN.docx"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2-9.GA-10-EN.docx" TargetMode="External"/><Relationship Id="rId2" Type="http://schemas.openxmlformats.org/officeDocument/2006/relationships/hyperlink" Target="https://ich.unesco.org/en/Decisions/9.GA/10" TargetMode="External"/><Relationship Id="rId1" Type="http://schemas.openxmlformats.org/officeDocument/2006/relationships/hyperlink" Target="https://ich.unesco.org/doc/src/LHE-22-17.COM-12-EN.docx" TargetMode="External"/><Relationship Id="rId4" Type="http://schemas.openxmlformats.org/officeDocument/2006/relationships/hyperlink" Target="https://unesdoc.unesco.org/ark:/48223/pf0000260089/PDF/260089eng.pdf.mult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EC1E465D57343B402C1696CC81C61" ma:contentTypeVersion="11" ma:contentTypeDescription="Create a new document." ma:contentTypeScope="" ma:versionID="7b128adddc59638608d7a9abfe090405">
  <xsd:schema xmlns:xsd="http://www.w3.org/2001/XMLSchema" xmlns:xs="http://www.w3.org/2001/XMLSchema" xmlns:p="http://schemas.microsoft.com/office/2006/metadata/properties" xmlns:ns3="e87381cd-c1b2-4c27-9825-5355900d81f7" xmlns:ns4="c5fa2140-002e-4f41-846b-028dda5c8061" targetNamespace="http://schemas.microsoft.com/office/2006/metadata/properties" ma:root="true" ma:fieldsID="38c01cefda2a2fac15b1326a69085c26" ns3:_="" ns4:_="">
    <xsd:import namespace="e87381cd-c1b2-4c27-9825-5355900d81f7"/>
    <xsd:import namespace="c5fa2140-002e-4f41-846b-028dda5c80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381cd-c1b2-4c27-9825-5355900d81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a2140-002e-4f41-846b-028dda5c8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BE838-AB18-4EA2-B09B-0EE9A9EAACF2}">
  <ds:schemaRefs>
    <ds:schemaRef ds:uri="http://schemas.microsoft.com/sharepoint/v3/contenttype/forms"/>
  </ds:schemaRefs>
</ds:datastoreItem>
</file>

<file path=customXml/itemProps2.xml><?xml version="1.0" encoding="utf-8"?>
<ds:datastoreItem xmlns:ds="http://schemas.openxmlformats.org/officeDocument/2006/customXml" ds:itemID="{645A4839-0364-4630-9978-58A538747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381cd-c1b2-4c27-9825-5355900d81f7"/>
    <ds:schemaRef ds:uri="c5fa2140-002e-4f41-846b-028dda5c8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customXml/itemProps4.xml><?xml version="1.0" encoding="utf-8"?>
<ds:datastoreItem xmlns:ds="http://schemas.openxmlformats.org/officeDocument/2006/customXml" ds:itemID="{CE8B9885-39AC-4BED-902D-74F53E2B136A}">
  <ds:schemaRefs>
    <ds:schemaRef ds:uri="http://purl.org/dc/terms/"/>
    <ds:schemaRef ds:uri="http://schemas.microsoft.com/office/2006/metadata/properties"/>
    <ds:schemaRef ds:uri="http://schemas.microsoft.com/office/2006/documentManagement/types"/>
    <ds:schemaRef ds:uri="c5fa2140-002e-4f41-846b-028dda5c8061"/>
    <ds:schemaRef ds:uri="http://purl.org/dc/elements/1.1/"/>
    <ds:schemaRef ds:uri="http://schemas.openxmlformats.org/package/2006/metadata/core-properties"/>
    <ds:schemaRef ds:uri="http://schemas.microsoft.com/office/infopath/2007/PartnerControls"/>
    <ds:schemaRef ds:uri="e87381cd-c1b2-4c27-9825-5355900d81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941</TotalTime>
  <Pages>11</Pages>
  <Words>5949</Words>
  <Characters>32721</Characters>
  <Application>Microsoft Office Word</Application>
  <DocSecurity>0</DocSecurity>
  <Lines>272</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233</cp:revision>
  <cp:lastPrinted>2022-10-27T16:18:00Z</cp:lastPrinted>
  <dcterms:created xsi:type="dcterms:W3CDTF">2022-10-25T08:51:00Z</dcterms:created>
  <dcterms:modified xsi:type="dcterms:W3CDTF">2022-10-31T22:18:00Z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0x0101009C9EC1E465D57343B402C1696CC81C61</vt:lpwstr>
  </property>
</Properties>
</file>