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9B850" w14:textId="77777777" w:rsidR="001F6AE2" w:rsidRDefault="001F6AE2" w:rsidP="001F6AE2">
      <w:pPr>
        <w:spacing w:before="240"/>
        <w:jc w:val="both"/>
        <w:rPr>
          <w:rFonts w:asciiTheme="minorBidi" w:hAnsiTheme="minorBidi" w:cstheme="minorBidi"/>
          <w:sz w:val="30"/>
          <w:szCs w:val="30"/>
          <w:u w:val="single"/>
        </w:rPr>
      </w:pPr>
      <w:r w:rsidRPr="00D757DA">
        <w:rPr>
          <w:rFonts w:asciiTheme="minorBidi" w:hAnsiTheme="minorBidi" w:cstheme="minorBidi"/>
          <w:sz w:val="30"/>
          <w:szCs w:val="30"/>
          <w:u w:val="single"/>
        </w:rPr>
        <w:t>Ways forward</w:t>
      </w:r>
    </w:p>
    <w:p w14:paraId="323084F1" w14:textId="77777777" w:rsidR="001F6AE2" w:rsidRPr="00D757DA" w:rsidRDefault="001F6AE2" w:rsidP="001F6AE2">
      <w:pPr>
        <w:numPr>
          <w:ilvl w:val="0"/>
          <w:numId w:val="1"/>
        </w:numPr>
        <w:ind w:left="567" w:hanging="567"/>
        <w:jc w:val="both"/>
        <w:rPr>
          <w:rFonts w:ascii="Arial" w:hAnsi="Arial" w:cs="Arial"/>
          <w:sz w:val="30"/>
          <w:szCs w:val="30"/>
        </w:rPr>
      </w:pPr>
      <w:r w:rsidRPr="00D757DA">
        <w:rPr>
          <w:rFonts w:ascii="Arial" w:hAnsi="Arial" w:cs="Arial"/>
          <w:sz w:val="30"/>
          <w:szCs w:val="30"/>
        </w:rPr>
        <w:t>The working group requests that the Secretariat prepares a set of draft amendments to the Operational Directives based on the recommendations of the working group for examination by the Committee at its sixteenth session.</w:t>
      </w:r>
    </w:p>
    <w:p w14:paraId="0A68EE04" w14:textId="77777777" w:rsidR="001F6AE2" w:rsidRPr="00D757DA" w:rsidRDefault="001F6AE2" w:rsidP="001F6AE2">
      <w:pPr>
        <w:keepNext/>
        <w:numPr>
          <w:ilvl w:val="0"/>
          <w:numId w:val="1"/>
        </w:numPr>
        <w:ind w:left="567" w:hanging="567"/>
        <w:jc w:val="both"/>
        <w:rPr>
          <w:rFonts w:ascii="Arial" w:hAnsi="Arial" w:cs="Arial"/>
          <w:sz w:val="30"/>
          <w:szCs w:val="30"/>
        </w:rPr>
      </w:pPr>
      <w:r w:rsidRPr="00D757DA">
        <w:rPr>
          <w:rFonts w:ascii="Arial" w:hAnsi="Arial" w:cs="Arial"/>
          <w:sz w:val="30"/>
          <w:szCs w:val="30"/>
        </w:rPr>
        <w:t>The working group recommends that the Committee extend its mandate in order to complete the discussion of the following issues by convening an additional online meeting in early 2022, so that the results may be examined by an extraordinary session of the Committee in the form of revised Operational Directives for the examination by the ninth session of the General Assembly in mid-2022:</w:t>
      </w:r>
    </w:p>
    <w:p w14:paraId="767FC878" w14:textId="77777777" w:rsidR="001F6AE2" w:rsidRPr="00D757DA" w:rsidRDefault="001F6AE2" w:rsidP="001F6AE2">
      <w:pPr>
        <w:pStyle w:val="Paragraphedeliste"/>
        <w:numPr>
          <w:ilvl w:val="0"/>
          <w:numId w:val="3"/>
        </w:numPr>
        <w:contextualSpacing w:val="0"/>
        <w:jc w:val="both"/>
        <w:rPr>
          <w:rFonts w:ascii="Arial" w:hAnsi="Arial" w:cs="Arial"/>
          <w:i/>
          <w:iCs/>
          <w:sz w:val="30"/>
          <w:szCs w:val="30"/>
        </w:rPr>
      </w:pPr>
      <w:r w:rsidRPr="00D757DA">
        <w:rPr>
          <w:rFonts w:ascii="Arial" w:hAnsi="Arial" w:cs="Arial"/>
          <w:i/>
          <w:iCs/>
          <w:sz w:val="30"/>
          <w:szCs w:val="30"/>
        </w:rPr>
        <w:t>Revising the priority for the examination of nomination files for States Parties that did not fulfil their reporting obligations concerning the implementation of the Convention and the status of elements inscribed on the Representative List or on the Urgent Safeguarding List;</w:t>
      </w:r>
    </w:p>
    <w:p w14:paraId="1F3AAC91" w14:textId="77777777" w:rsidR="001F6AE2" w:rsidRPr="00D757DA" w:rsidRDefault="001F6AE2" w:rsidP="001F6AE2">
      <w:pPr>
        <w:pStyle w:val="Paragraphedeliste"/>
        <w:numPr>
          <w:ilvl w:val="0"/>
          <w:numId w:val="3"/>
        </w:numPr>
        <w:contextualSpacing w:val="0"/>
        <w:jc w:val="both"/>
        <w:rPr>
          <w:rFonts w:ascii="Arial" w:hAnsi="Arial" w:cs="Arial"/>
          <w:i/>
          <w:iCs/>
          <w:sz w:val="30"/>
          <w:szCs w:val="30"/>
        </w:rPr>
      </w:pPr>
      <w:r w:rsidRPr="00D757DA">
        <w:rPr>
          <w:rFonts w:ascii="Arial" w:hAnsi="Arial" w:cs="Arial"/>
          <w:i/>
          <w:iCs/>
          <w:sz w:val="30"/>
          <w:szCs w:val="30"/>
        </w:rPr>
        <w:t>Debating the possibility of obtaining additional information regarding nominations by using a dialogue process with accredited NGOs and communities, groups and individuals concerned; and</w:t>
      </w:r>
    </w:p>
    <w:p w14:paraId="28FAEBA7" w14:textId="77777777" w:rsidR="001F6AE2" w:rsidRPr="00D757DA" w:rsidRDefault="001F6AE2" w:rsidP="001F6AE2">
      <w:pPr>
        <w:pStyle w:val="Paragraphedeliste"/>
        <w:numPr>
          <w:ilvl w:val="0"/>
          <w:numId w:val="3"/>
        </w:numPr>
        <w:contextualSpacing w:val="0"/>
        <w:jc w:val="both"/>
        <w:rPr>
          <w:rFonts w:ascii="Arial" w:hAnsi="Arial" w:cs="Arial"/>
          <w:i/>
          <w:iCs/>
          <w:sz w:val="30"/>
          <w:szCs w:val="30"/>
        </w:rPr>
      </w:pPr>
      <w:r w:rsidRPr="00D757DA">
        <w:rPr>
          <w:rFonts w:ascii="Arial" w:hAnsi="Arial" w:cs="Arial"/>
          <w:i/>
          <w:iCs/>
          <w:sz w:val="30"/>
          <w:szCs w:val="30"/>
        </w:rPr>
        <w:t>Discussing the following issues linked to the number of files per cycle:</w:t>
      </w:r>
    </w:p>
    <w:p w14:paraId="3D2F2941" w14:textId="77777777" w:rsidR="001F6AE2" w:rsidRPr="00D757DA" w:rsidRDefault="001F6AE2" w:rsidP="001F6AE2">
      <w:pPr>
        <w:pStyle w:val="Paragraphedeliste"/>
        <w:numPr>
          <w:ilvl w:val="1"/>
          <w:numId w:val="2"/>
        </w:numPr>
        <w:spacing w:before="240"/>
        <w:ind w:left="1434" w:hanging="357"/>
        <w:contextualSpacing w:val="0"/>
        <w:rPr>
          <w:rFonts w:asciiTheme="minorBidi" w:hAnsiTheme="minorBidi" w:cstheme="minorBidi"/>
          <w:sz w:val="30"/>
          <w:szCs w:val="30"/>
        </w:rPr>
      </w:pPr>
      <w:r w:rsidRPr="00D757DA">
        <w:rPr>
          <w:rFonts w:asciiTheme="minorBidi" w:hAnsiTheme="minorBidi" w:cstheme="minorBidi"/>
          <w:sz w:val="30"/>
          <w:szCs w:val="30"/>
        </w:rPr>
        <w:t>Consider the possibility of reviewing the adaptability of the composition and the working methods of the Evaluation Body to allow for a higher number of files per cycle to be evaluated, keeping in mind geographical representation;</w:t>
      </w:r>
    </w:p>
    <w:p w14:paraId="554E764F" w14:textId="77777777" w:rsidR="001F6AE2" w:rsidRPr="00D757DA" w:rsidRDefault="001F6AE2" w:rsidP="001F6AE2">
      <w:pPr>
        <w:pStyle w:val="Paragraphedeliste"/>
        <w:numPr>
          <w:ilvl w:val="1"/>
          <w:numId w:val="2"/>
        </w:numPr>
        <w:spacing w:before="240"/>
        <w:ind w:left="1434" w:hanging="357"/>
        <w:contextualSpacing w:val="0"/>
        <w:rPr>
          <w:rFonts w:asciiTheme="minorBidi" w:hAnsiTheme="minorBidi" w:cstheme="minorBidi"/>
          <w:sz w:val="30"/>
          <w:szCs w:val="30"/>
        </w:rPr>
      </w:pPr>
      <w:r w:rsidRPr="00D757DA">
        <w:rPr>
          <w:rFonts w:asciiTheme="minorBidi" w:hAnsiTheme="minorBidi" w:cstheme="minorBidi"/>
          <w:sz w:val="30"/>
          <w:szCs w:val="30"/>
        </w:rPr>
        <w:t>Consider the possibility of examining two files per State every three years alternating between a nomination to the Representative List and the Urgent Safeguarding List or the Register of Good Safeguarding Practices;</w:t>
      </w:r>
    </w:p>
    <w:p w14:paraId="16C43873" w14:textId="4D8AED22" w:rsidR="00175BB2" w:rsidRDefault="001F6AE2" w:rsidP="001F6AE2">
      <w:pPr>
        <w:rPr>
          <w:rFonts w:asciiTheme="minorBidi" w:hAnsiTheme="minorBidi" w:cstheme="minorBidi"/>
          <w:sz w:val="30"/>
          <w:szCs w:val="30"/>
        </w:rPr>
      </w:pPr>
      <w:r w:rsidRPr="00D757DA">
        <w:rPr>
          <w:rFonts w:asciiTheme="minorBidi" w:hAnsiTheme="minorBidi" w:cstheme="minorBidi"/>
          <w:sz w:val="30"/>
          <w:szCs w:val="30"/>
        </w:rPr>
        <w:t>Consider the possibility of moving all International Assistance requests to the Bureau of the Intergovernmental Committee for the Safeguarding</w:t>
      </w:r>
    </w:p>
    <w:p w14:paraId="65B8195A" w14:textId="62B17007" w:rsidR="00B120C5" w:rsidRDefault="00B120C5" w:rsidP="001F6AE2">
      <w:pPr>
        <w:rPr>
          <w:rFonts w:asciiTheme="minorBidi" w:hAnsiTheme="minorBidi" w:cstheme="minorBidi"/>
          <w:sz w:val="30"/>
          <w:szCs w:val="30"/>
        </w:rPr>
      </w:pPr>
    </w:p>
    <w:p w14:paraId="103DF1E2" w14:textId="77777777" w:rsidR="00B120C5" w:rsidRDefault="00B120C5" w:rsidP="00B120C5">
      <w:pPr>
        <w:spacing w:before="240"/>
        <w:jc w:val="both"/>
        <w:rPr>
          <w:rFonts w:asciiTheme="minorBidi" w:hAnsiTheme="minorBidi"/>
          <w:sz w:val="30"/>
          <w:szCs w:val="30"/>
          <w:u w:val="single"/>
        </w:rPr>
      </w:pPr>
      <w:r w:rsidRPr="004625E7">
        <w:rPr>
          <w:rFonts w:asciiTheme="minorBidi" w:hAnsiTheme="minorBidi"/>
          <w:sz w:val="30"/>
          <w:szCs w:val="30"/>
          <w:u w:val="single"/>
        </w:rPr>
        <w:t>Perspectives futures</w:t>
      </w:r>
    </w:p>
    <w:p w14:paraId="33752971" w14:textId="77777777" w:rsidR="00B120C5" w:rsidRPr="00B120C5" w:rsidRDefault="00B120C5" w:rsidP="00AD31ED">
      <w:pPr>
        <w:numPr>
          <w:ilvl w:val="0"/>
          <w:numId w:val="6"/>
        </w:numPr>
        <w:jc w:val="both"/>
        <w:rPr>
          <w:rFonts w:ascii="Arial" w:hAnsi="Arial"/>
          <w:sz w:val="30"/>
          <w:szCs w:val="30"/>
          <w:lang w:val="fr-FR"/>
        </w:rPr>
      </w:pPr>
      <w:r w:rsidRPr="00B120C5">
        <w:rPr>
          <w:rFonts w:ascii="Arial" w:hAnsi="Arial"/>
          <w:sz w:val="30"/>
          <w:szCs w:val="30"/>
          <w:lang w:val="fr-FR"/>
        </w:rPr>
        <w:t>Le groupe de travail demande au Secrétariat de préparer une série de projets d’amendements aux Directives opérationnelles sur la base des recommandations du groupe de travail, pour examen par le Comité lors de sa seizième session.</w:t>
      </w:r>
    </w:p>
    <w:p w14:paraId="30C3B2B0" w14:textId="77777777" w:rsidR="00B120C5" w:rsidRPr="00B120C5" w:rsidRDefault="00B120C5" w:rsidP="00AD31ED">
      <w:pPr>
        <w:numPr>
          <w:ilvl w:val="0"/>
          <w:numId w:val="6"/>
        </w:numPr>
        <w:ind w:left="567" w:hanging="567"/>
        <w:jc w:val="both"/>
        <w:rPr>
          <w:rFonts w:ascii="Arial" w:hAnsi="Arial"/>
          <w:sz w:val="30"/>
          <w:szCs w:val="30"/>
          <w:lang w:val="fr-FR"/>
        </w:rPr>
      </w:pPr>
      <w:r w:rsidRPr="00B120C5">
        <w:rPr>
          <w:rFonts w:ascii="Arial" w:hAnsi="Arial"/>
          <w:sz w:val="30"/>
          <w:szCs w:val="30"/>
          <w:lang w:val="fr-FR"/>
        </w:rPr>
        <w:t>Le groupe de travail recommande au Comité de prolonger son mandat afin d’achever la discussion des questions suivantes en convoquant une réunion en ligne supplémentaire au début de 2022, de sorte que les résultats puissent être examinés par une session extraordinaire du Comité sous la forme de Directives opérationnelles révisées pour examen par la neuvième session de l’Assemblée générale à la mi-2022 :</w:t>
      </w:r>
    </w:p>
    <w:p w14:paraId="5EAACD39" w14:textId="77777777" w:rsidR="00B120C5" w:rsidRPr="00B120C5" w:rsidRDefault="00B120C5" w:rsidP="00B120C5">
      <w:pPr>
        <w:pStyle w:val="Paragraphedeliste"/>
        <w:numPr>
          <w:ilvl w:val="0"/>
          <w:numId w:val="4"/>
        </w:numPr>
        <w:ind w:left="993"/>
        <w:contextualSpacing w:val="0"/>
        <w:jc w:val="both"/>
        <w:rPr>
          <w:rFonts w:ascii="Arial" w:hAnsi="Arial" w:cs="Arial"/>
          <w:i/>
          <w:iCs/>
          <w:sz w:val="30"/>
          <w:szCs w:val="30"/>
          <w:lang w:val="fr-FR"/>
        </w:rPr>
      </w:pPr>
      <w:r w:rsidRPr="00B120C5">
        <w:rPr>
          <w:rFonts w:ascii="Arial" w:hAnsi="Arial" w:cs="Arial"/>
          <w:i/>
          <w:iCs/>
          <w:sz w:val="30"/>
          <w:szCs w:val="30"/>
          <w:lang w:val="fr-FR"/>
        </w:rPr>
        <w:t>Réviser la priorité pour l’examen des dossiers de candidature des États parties qui n’ont pas rempli leurs obligations de rapport concernant la mise en œuvre de la Convention et le statut des éléments inscrits sur la Liste représentative ou sur la Liste de sauvegarde urgente ;</w:t>
      </w:r>
    </w:p>
    <w:p w14:paraId="598FE1E4" w14:textId="77777777" w:rsidR="00B120C5" w:rsidRPr="00B120C5" w:rsidRDefault="00B120C5" w:rsidP="00B120C5">
      <w:pPr>
        <w:pStyle w:val="Paragraphedeliste"/>
        <w:numPr>
          <w:ilvl w:val="0"/>
          <w:numId w:val="4"/>
        </w:numPr>
        <w:ind w:left="993"/>
        <w:contextualSpacing w:val="0"/>
        <w:jc w:val="both"/>
        <w:rPr>
          <w:rFonts w:ascii="Arial" w:hAnsi="Arial" w:cs="Arial"/>
          <w:i/>
          <w:iCs/>
          <w:sz w:val="30"/>
          <w:szCs w:val="30"/>
          <w:lang w:val="fr-FR"/>
        </w:rPr>
      </w:pPr>
      <w:r w:rsidRPr="00B120C5">
        <w:rPr>
          <w:rFonts w:ascii="Arial" w:hAnsi="Arial" w:cs="Arial"/>
          <w:i/>
          <w:iCs/>
          <w:sz w:val="30"/>
          <w:szCs w:val="30"/>
          <w:lang w:val="fr-FR"/>
        </w:rPr>
        <w:t>Considérer la possibilité d’obtenir des informations supplémentaires concernant les candidatures en utilisant un processus de dialogue avec les ONG accréditées et les communautés, les groupes et, le cas échéant, les individus concernés ;</w:t>
      </w:r>
    </w:p>
    <w:p w14:paraId="7FD9CE07" w14:textId="77777777" w:rsidR="00B120C5" w:rsidRPr="00B120C5" w:rsidRDefault="00B120C5" w:rsidP="00B120C5">
      <w:pPr>
        <w:pStyle w:val="Paragraphedeliste"/>
        <w:numPr>
          <w:ilvl w:val="0"/>
          <w:numId w:val="4"/>
        </w:numPr>
        <w:ind w:left="993"/>
        <w:contextualSpacing w:val="0"/>
        <w:jc w:val="both"/>
        <w:rPr>
          <w:rFonts w:ascii="Arial" w:hAnsi="Arial" w:cs="Arial"/>
          <w:i/>
          <w:iCs/>
          <w:sz w:val="30"/>
          <w:szCs w:val="30"/>
          <w:lang w:val="fr-FR"/>
        </w:rPr>
      </w:pPr>
      <w:r w:rsidRPr="00B120C5">
        <w:rPr>
          <w:rFonts w:ascii="Arial" w:hAnsi="Arial" w:cs="Arial"/>
          <w:i/>
          <w:iCs/>
          <w:sz w:val="30"/>
          <w:szCs w:val="30"/>
          <w:lang w:val="fr-FR"/>
        </w:rPr>
        <w:t>Discuter des questions suivantes liées au nombre de dossiers par cycle :</w:t>
      </w:r>
    </w:p>
    <w:p w14:paraId="61C1D974" w14:textId="77777777" w:rsidR="00B120C5" w:rsidRPr="00B120C5" w:rsidRDefault="00B120C5" w:rsidP="00B120C5">
      <w:pPr>
        <w:pStyle w:val="Paragraphedeliste"/>
        <w:numPr>
          <w:ilvl w:val="0"/>
          <w:numId w:val="5"/>
        </w:numPr>
        <w:ind w:left="1418"/>
        <w:contextualSpacing w:val="0"/>
        <w:jc w:val="both"/>
        <w:rPr>
          <w:rFonts w:ascii="Arial" w:hAnsi="Arial" w:cs="Arial"/>
          <w:i/>
          <w:iCs/>
          <w:sz w:val="30"/>
          <w:szCs w:val="30"/>
          <w:lang w:val="fr-FR"/>
        </w:rPr>
      </w:pPr>
      <w:r w:rsidRPr="00B120C5">
        <w:rPr>
          <w:rFonts w:ascii="Arial" w:hAnsi="Arial" w:cs="Arial"/>
          <w:i/>
          <w:iCs/>
          <w:sz w:val="30"/>
          <w:szCs w:val="30"/>
          <w:lang w:val="fr-FR"/>
        </w:rPr>
        <w:t>Envisager la possibilité de revoir l’adaptabilité de la composition et des méthodes de travail de l’Organe d’évaluation afin de permettre l’évaluation d’un plus grand nombre de dossiers par cycle, en gardant à l’esprit la représentation géographique ;</w:t>
      </w:r>
    </w:p>
    <w:p w14:paraId="64C01B2B" w14:textId="77777777" w:rsidR="00B120C5" w:rsidRPr="00B120C5" w:rsidRDefault="00B120C5" w:rsidP="00B120C5">
      <w:pPr>
        <w:pStyle w:val="Paragraphedeliste"/>
        <w:numPr>
          <w:ilvl w:val="0"/>
          <w:numId w:val="5"/>
        </w:numPr>
        <w:ind w:left="1418"/>
        <w:contextualSpacing w:val="0"/>
        <w:jc w:val="both"/>
        <w:rPr>
          <w:rFonts w:ascii="Arial" w:hAnsi="Arial" w:cs="Arial"/>
          <w:i/>
          <w:iCs/>
          <w:sz w:val="30"/>
          <w:szCs w:val="30"/>
          <w:lang w:val="fr-FR"/>
        </w:rPr>
      </w:pPr>
      <w:r w:rsidRPr="00B120C5">
        <w:rPr>
          <w:rFonts w:ascii="Arial" w:hAnsi="Arial" w:cs="Arial"/>
          <w:i/>
          <w:iCs/>
          <w:sz w:val="30"/>
          <w:szCs w:val="30"/>
          <w:lang w:val="fr-FR"/>
        </w:rPr>
        <w:t>Envisager la possibilité d’examiner deux dossiers par État par cycle de trois ans avec une alternance entre une candidature à la Liste représentative et à la Liste de sauvegarde urgente ou au Registre de bonnes pratiques de sauvegarde ;</w:t>
      </w:r>
    </w:p>
    <w:p w14:paraId="38DF2D45" w14:textId="77777777" w:rsidR="00B120C5" w:rsidRPr="00B120C5" w:rsidRDefault="00B120C5" w:rsidP="00B120C5">
      <w:pPr>
        <w:pStyle w:val="Paragraphedeliste"/>
        <w:numPr>
          <w:ilvl w:val="0"/>
          <w:numId w:val="5"/>
        </w:numPr>
        <w:ind w:left="1418"/>
        <w:contextualSpacing w:val="0"/>
        <w:jc w:val="both"/>
        <w:rPr>
          <w:rFonts w:ascii="Arial" w:hAnsi="Arial" w:cs="Arial"/>
          <w:i/>
          <w:iCs/>
          <w:sz w:val="30"/>
          <w:szCs w:val="30"/>
          <w:lang w:val="fr-FR"/>
        </w:rPr>
      </w:pPr>
      <w:r w:rsidRPr="00B120C5">
        <w:rPr>
          <w:rFonts w:ascii="Arial" w:hAnsi="Arial" w:cs="Arial"/>
          <w:i/>
          <w:iCs/>
          <w:sz w:val="30"/>
          <w:szCs w:val="30"/>
          <w:lang w:val="fr-FR"/>
        </w:rPr>
        <w:lastRenderedPageBreak/>
        <w:t>Envisager la possibilité de déplacer toutes les demandes d’assistance internationale au Bureau du Comité intergouvernemental de sauvegarde du patrimoine culturel immatériel.</w:t>
      </w:r>
    </w:p>
    <w:p w14:paraId="4C23B0AE" w14:textId="77777777" w:rsidR="00B120C5" w:rsidRPr="00B120C5" w:rsidRDefault="00B120C5" w:rsidP="001F6AE2">
      <w:pPr>
        <w:rPr>
          <w:lang w:val="fr-FR"/>
        </w:rPr>
      </w:pPr>
    </w:p>
    <w:sectPr w:rsidR="00B120C5" w:rsidRPr="00B120C5" w:rsidSect="0042450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18EB6" w14:textId="77777777" w:rsidR="007E6DB0" w:rsidRDefault="007E6DB0" w:rsidP="007E6DB0">
      <w:pPr>
        <w:spacing w:after="0"/>
      </w:pPr>
      <w:r>
        <w:separator/>
      </w:r>
    </w:p>
  </w:endnote>
  <w:endnote w:type="continuationSeparator" w:id="0">
    <w:p w14:paraId="3AB1A608" w14:textId="77777777" w:rsidR="007E6DB0" w:rsidRDefault="007E6DB0" w:rsidP="007E6D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CAEF8" w14:textId="77777777" w:rsidR="0042450E" w:rsidRDefault="0042450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39083" w14:textId="77777777" w:rsidR="0042450E" w:rsidRDefault="0042450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E3837" w14:textId="77777777" w:rsidR="0042450E" w:rsidRDefault="0042450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A622CB" w14:textId="77777777" w:rsidR="007E6DB0" w:rsidRDefault="007E6DB0" w:rsidP="007E6DB0">
      <w:pPr>
        <w:spacing w:after="0"/>
      </w:pPr>
      <w:r>
        <w:separator/>
      </w:r>
    </w:p>
  </w:footnote>
  <w:footnote w:type="continuationSeparator" w:id="0">
    <w:p w14:paraId="05548989" w14:textId="77777777" w:rsidR="007E6DB0" w:rsidRDefault="007E6DB0" w:rsidP="007E6DB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9391F" w14:textId="6EBF353E" w:rsidR="0042450E" w:rsidRPr="0042450E" w:rsidRDefault="0042450E" w:rsidP="0042450E">
    <w:pPr>
      <w:pStyle w:val="En-tte"/>
      <w:ind w:left="2544" w:right="400" w:hanging="2402"/>
      <w:jc w:val="both"/>
      <w:rPr>
        <w:rFonts w:ascii="Arial" w:hAnsi="Arial" w:cs="Arial"/>
      </w:rPr>
    </w:pPr>
    <w:r>
      <w:rPr>
        <w:rFonts w:ascii="Arial" w:hAnsi="Arial" w:cs="Arial"/>
        <w:sz w:val="20"/>
        <w:szCs w:val="20"/>
        <w:lang w:val="en-US"/>
      </w:rPr>
      <w:t>LHE/21/1</w:t>
    </w:r>
    <w:r>
      <w:rPr>
        <w:rFonts w:ascii="Arial" w:eastAsiaTheme="minorEastAsia" w:hAnsi="Arial" w:cs="Arial"/>
        <w:sz w:val="20"/>
        <w:szCs w:val="20"/>
        <w:lang w:val="en-US" w:eastAsia="ko-KR"/>
      </w:rPr>
      <w:t>6</w:t>
    </w:r>
    <w:r>
      <w:rPr>
        <w:rFonts w:ascii="Arial" w:hAnsi="Arial" w:cs="Arial"/>
        <w:sz w:val="20"/>
        <w:szCs w:val="20"/>
        <w:lang w:val="en-US"/>
      </w:rPr>
      <w:t>.COM</w:t>
    </w:r>
    <w:r>
      <w:rPr>
        <w:rFonts w:ascii="Arial" w:eastAsiaTheme="minorEastAsia" w:hAnsi="Arial" w:cs="Arial" w:hint="eastAsia"/>
        <w:sz w:val="20"/>
        <w:szCs w:val="20"/>
        <w:lang w:val="en-US" w:eastAsia="ko-KR"/>
      </w:rPr>
      <w:t xml:space="preserve"> WG</w:t>
    </w:r>
    <w:r>
      <w:rPr>
        <w:rFonts w:ascii="Arial" w:hAnsi="Arial" w:cs="Arial"/>
        <w:sz w:val="20"/>
        <w:szCs w:val="20"/>
        <w:lang w:val="en-US"/>
      </w:rPr>
      <w:t>/</w:t>
    </w:r>
    <w:r>
      <w:rPr>
        <w:rFonts w:ascii="Arial" w:eastAsiaTheme="minorEastAsia" w:hAnsi="Arial" w:cs="Arial"/>
        <w:sz w:val="20"/>
        <w:szCs w:val="20"/>
        <w:lang w:val="en-US" w:eastAsia="ko-KR"/>
      </w:rPr>
      <w:t xml:space="preserve">8 </w:t>
    </w:r>
    <w:r w:rsidR="00370C78">
      <w:rPr>
        <w:rFonts w:ascii="Arial" w:eastAsiaTheme="minorEastAsia" w:hAnsi="Arial" w:cs="Arial"/>
        <w:sz w:val="20"/>
        <w:szCs w:val="20"/>
        <w:lang w:val="en-US" w:eastAsia="ko-KR"/>
      </w:rPr>
      <w:t>Ways forward</w:t>
    </w:r>
    <w:r>
      <w:rPr>
        <w:rFonts w:ascii="Arial" w:hAnsi="Arial" w:cs="Arial"/>
        <w:sz w:val="20"/>
        <w:szCs w:val="20"/>
        <w:lang w:val="en-US"/>
      </w:rPr>
      <w:t xml:space="preserve"> </w:t>
    </w:r>
    <w:r w:rsidRPr="00EF563B">
      <w:rPr>
        <w:rFonts w:ascii="Arial" w:hAnsi="Arial" w:cs="Arial"/>
        <w:sz w:val="20"/>
        <w:szCs w:val="20"/>
        <w:lang w:val="en-US"/>
      </w:rPr>
      <w:t xml:space="preserve">– page </w:t>
    </w:r>
    <w:r w:rsidRPr="00EF563B">
      <w:rPr>
        <w:rStyle w:val="Numrodepage"/>
        <w:rFonts w:ascii="Arial" w:hAnsi="Arial" w:cs="Arial"/>
        <w:sz w:val="20"/>
        <w:szCs w:val="20"/>
      </w:rPr>
      <w:fldChar w:fldCharType="begin"/>
    </w:r>
    <w:r w:rsidRPr="00EF563B">
      <w:rPr>
        <w:rStyle w:val="Numrodepage"/>
        <w:rFonts w:ascii="Arial" w:hAnsi="Arial" w:cs="Arial"/>
        <w:sz w:val="20"/>
        <w:szCs w:val="20"/>
        <w:lang w:val="en-US"/>
      </w:rPr>
      <w:instrText xml:space="preserve"> </w:instrText>
    </w:r>
    <w:r>
      <w:rPr>
        <w:rStyle w:val="Numrodepage"/>
        <w:rFonts w:ascii="Arial" w:hAnsi="Arial" w:cs="Arial"/>
        <w:sz w:val="20"/>
        <w:szCs w:val="20"/>
        <w:lang w:val="en-US"/>
      </w:rPr>
      <w:instrText>PAGE</w:instrText>
    </w:r>
    <w:r w:rsidRPr="00EF563B">
      <w:rPr>
        <w:rStyle w:val="Numrodepage"/>
        <w:rFonts w:ascii="Arial" w:hAnsi="Arial" w:cs="Arial"/>
        <w:sz w:val="20"/>
        <w:szCs w:val="20"/>
        <w:lang w:val="en-US"/>
      </w:rPr>
      <w:instrText xml:space="preserve"> </w:instrText>
    </w:r>
    <w:r w:rsidRPr="00EF563B">
      <w:rPr>
        <w:rStyle w:val="Numrodepage"/>
        <w:rFonts w:ascii="Arial" w:hAnsi="Arial" w:cs="Arial"/>
        <w:sz w:val="20"/>
        <w:szCs w:val="20"/>
      </w:rPr>
      <w:fldChar w:fldCharType="separate"/>
    </w:r>
    <w:r>
      <w:rPr>
        <w:rStyle w:val="Numrodepage"/>
        <w:rFonts w:ascii="Arial" w:hAnsi="Arial" w:cs="Arial"/>
        <w:sz w:val="20"/>
        <w:szCs w:val="20"/>
      </w:rPr>
      <w:t>1</w:t>
    </w:r>
    <w:r w:rsidRPr="00EF563B">
      <w:rPr>
        <w:rStyle w:val="Numrodepage"/>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D7BB7" w14:textId="76D6FED8" w:rsidR="0042450E" w:rsidRPr="007E4E37" w:rsidRDefault="0042450E" w:rsidP="0042450E">
    <w:pPr>
      <w:pStyle w:val="En-tte"/>
      <w:ind w:left="2544" w:right="400"/>
      <w:jc w:val="right"/>
      <w:rPr>
        <w:rFonts w:ascii="Arial" w:hAnsi="Arial" w:cs="Arial"/>
      </w:rPr>
    </w:pPr>
    <w:bookmarkStart w:id="0" w:name="_Hlk80957050"/>
    <w:r>
      <w:rPr>
        <w:rFonts w:ascii="Arial" w:hAnsi="Arial" w:cs="Arial"/>
        <w:sz w:val="20"/>
        <w:szCs w:val="20"/>
        <w:lang w:val="en-US"/>
      </w:rPr>
      <w:t>LHE/21/1</w:t>
    </w:r>
    <w:r>
      <w:rPr>
        <w:rFonts w:ascii="Arial" w:eastAsiaTheme="minorEastAsia" w:hAnsi="Arial" w:cs="Arial"/>
        <w:sz w:val="20"/>
        <w:szCs w:val="20"/>
        <w:lang w:val="en-US" w:eastAsia="ko-KR"/>
      </w:rPr>
      <w:t>6</w:t>
    </w:r>
    <w:r>
      <w:rPr>
        <w:rFonts w:ascii="Arial" w:hAnsi="Arial" w:cs="Arial"/>
        <w:sz w:val="20"/>
        <w:szCs w:val="20"/>
        <w:lang w:val="en-US"/>
      </w:rPr>
      <w:t>.COM</w:t>
    </w:r>
    <w:r>
      <w:rPr>
        <w:rFonts w:ascii="Arial" w:eastAsiaTheme="minorEastAsia" w:hAnsi="Arial" w:cs="Arial" w:hint="eastAsia"/>
        <w:sz w:val="20"/>
        <w:szCs w:val="20"/>
        <w:lang w:val="en-US" w:eastAsia="ko-KR"/>
      </w:rPr>
      <w:t xml:space="preserve"> WG</w:t>
    </w:r>
    <w:r>
      <w:rPr>
        <w:rFonts w:ascii="Arial" w:hAnsi="Arial" w:cs="Arial"/>
        <w:sz w:val="20"/>
        <w:szCs w:val="20"/>
        <w:lang w:val="en-US"/>
      </w:rPr>
      <w:t>/</w:t>
    </w:r>
    <w:r>
      <w:rPr>
        <w:rFonts w:ascii="Arial" w:eastAsiaTheme="minorEastAsia" w:hAnsi="Arial" w:cs="Arial"/>
        <w:sz w:val="20"/>
        <w:szCs w:val="20"/>
        <w:lang w:val="en-US" w:eastAsia="ko-KR"/>
      </w:rPr>
      <w:t xml:space="preserve">8 </w:t>
    </w:r>
    <w:r w:rsidR="00370C78">
      <w:rPr>
        <w:rFonts w:ascii="Arial" w:eastAsiaTheme="minorEastAsia" w:hAnsi="Arial" w:cs="Arial"/>
        <w:sz w:val="20"/>
        <w:szCs w:val="20"/>
        <w:lang w:val="en-US" w:eastAsia="ko-KR"/>
      </w:rPr>
      <w:t>Ways forward</w:t>
    </w:r>
    <w:r>
      <w:rPr>
        <w:rFonts w:ascii="Arial" w:hAnsi="Arial" w:cs="Arial"/>
        <w:sz w:val="20"/>
        <w:szCs w:val="20"/>
        <w:lang w:val="en-US"/>
      </w:rPr>
      <w:t xml:space="preserve"> </w:t>
    </w:r>
    <w:bookmarkEnd w:id="0"/>
    <w:r w:rsidRPr="00EF563B">
      <w:rPr>
        <w:rFonts w:ascii="Arial" w:hAnsi="Arial" w:cs="Arial"/>
        <w:sz w:val="20"/>
        <w:szCs w:val="20"/>
        <w:lang w:val="en-US"/>
      </w:rPr>
      <w:t xml:space="preserve">– page </w:t>
    </w:r>
    <w:r w:rsidRPr="00EF563B">
      <w:rPr>
        <w:rStyle w:val="Numrodepage"/>
        <w:rFonts w:ascii="Arial" w:hAnsi="Arial" w:cs="Arial"/>
        <w:sz w:val="20"/>
        <w:szCs w:val="20"/>
      </w:rPr>
      <w:fldChar w:fldCharType="begin"/>
    </w:r>
    <w:r w:rsidRPr="00EF563B">
      <w:rPr>
        <w:rStyle w:val="Numrodepage"/>
        <w:rFonts w:ascii="Arial" w:hAnsi="Arial" w:cs="Arial"/>
        <w:sz w:val="20"/>
        <w:szCs w:val="20"/>
        <w:lang w:val="en-US"/>
      </w:rPr>
      <w:instrText xml:space="preserve"> </w:instrText>
    </w:r>
    <w:r>
      <w:rPr>
        <w:rStyle w:val="Numrodepage"/>
        <w:rFonts w:ascii="Arial" w:hAnsi="Arial" w:cs="Arial"/>
        <w:sz w:val="20"/>
        <w:szCs w:val="20"/>
        <w:lang w:val="en-US"/>
      </w:rPr>
      <w:instrText>PAGE</w:instrText>
    </w:r>
    <w:r w:rsidRPr="00EF563B">
      <w:rPr>
        <w:rStyle w:val="Numrodepage"/>
        <w:rFonts w:ascii="Arial" w:hAnsi="Arial" w:cs="Arial"/>
        <w:sz w:val="20"/>
        <w:szCs w:val="20"/>
        <w:lang w:val="en-US"/>
      </w:rPr>
      <w:instrText xml:space="preserve"> </w:instrText>
    </w:r>
    <w:r w:rsidRPr="00EF563B">
      <w:rPr>
        <w:rStyle w:val="Numrodepage"/>
        <w:rFonts w:ascii="Arial" w:hAnsi="Arial" w:cs="Arial"/>
        <w:sz w:val="20"/>
        <w:szCs w:val="20"/>
      </w:rPr>
      <w:fldChar w:fldCharType="separate"/>
    </w:r>
    <w:r>
      <w:rPr>
        <w:rStyle w:val="Numrodepage"/>
        <w:rFonts w:ascii="Arial" w:hAnsi="Arial" w:cs="Arial"/>
        <w:sz w:val="20"/>
        <w:szCs w:val="20"/>
      </w:rPr>
      <w:t>3</w:t>
    </w:r>
    <w:r w:rsidRPr="00EF563B">
      <w:rPr>
        <w:rStyle w:val="Numrodepage"/>
        <w:rFonts w:ascii="Arial" w:hAnsi="Arial" w:cs="Arial"/>
        <w:sz w:val="20"/>
        <w:szCs w:val="20"/>
      </w:rPr>
      <w:fldChar w:fldCharType="end"/>
    </w:r>
  </w:p>
  <w:p w14:paraId="65DE1129" w14:textId="77777777" w:rsidR="0042450E" w:rsidRDefault="0042450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C0039" w14:textId="77777777" w:rsidR="0042450E" w:rsidRDefault="0042450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96B9B"/>
    <w:multiLevelType w:val="hybridMultilevel"/>
    <w:tmpl w:val="89F89708"/>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88672D6"/>
    <w:multiLevelType w:val="hybridMultilevel"/>
    <w:tmpl w:val="8CB6C26E"/>
    <w:lvl w:ilvl="0" w:tplc="87DEB68C">
      <w:start w:val="1"/>
      <w:numFmt w:val="decimal"/>
      <w:lvlText w:val="%1."/>
      <w:lvlJc w:val="left"/>
      <w:pPr>
        <w:ind w:left="420" w:hanging="420"/>
      </w:pPr>
      <w:rPr>
        <w:rFonts w:asciiTheme="minorBidi" w:hAnsiTheme="minorBidi" w:cstheme="minorBidi" w:hint="default"/>
        <w:i w:val="0"/>
        <w:iCs w:val="0"/>
      </w:rPr>
    </w:lvl>
    <w:lvl w:ilvl="1" w:tplc="D0E46A06">
      <w:start w:val="1"/>
      <w:numFmt w:val="low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3441036"/>
    <w:multiLevelType w:val="hybridMultilevel"/>
    <w:tmpl w:val="8CB6C26E"/>
    <w:lvl w:ilvl="0" w:tplc="87DEB68C">
      <w:start w:val="1"/>
      <w:numFmt w:val="decimal"/>
      <w:lvlText w:val="%1."/>
      <w:lvlJc w:val="left"/>
      <w:pPr>
        <w:ind w:left="420" w:hanging="420"/>
      </w:pPr>
      <w:rPr>
        <w:rFonts w:asciiTheme="minorBidi" w:hAnsiTheme="minorBidi" w:cstheme="minorBidi" w:hint="default"/>
        <w:i w:val="0"/>
        <w:iCs w:val="0"/>
      </w:rPr>
    </w:lvl>
    <w:lvl w:ilvl="1" w:tplc="D0E46A06">
      <w:start w:val="1"/>
      <w:numFmt w:val="low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9787F86"/>
    <w:multiLevelType w:val="hybridMultilevel"/>
    <w:tmpl w:val="1D3001DC"/>
    <w:lvl w:ilvl="0" w:tplc="040C0001">
      <w:start w:val="1"/>
      <w:numFmt w:val="bullet"/>
      <w:lvlText w:val=""/>
      <w:lvlJc w:val="left"/>
      <w:pPr>
        <w:ind w:left="3240" w:hanging="360"/>
      </w:pPr>
      <w:rPr>
        <w:rFonts w:ascii="Symbol" w:hAnsi="Symbol" w:hint="default"/>
      </w:rPr>
    </w:lvl>
    <w:lvl w:ilvl="1" w:tplc="040C0003" w:tentative="1">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4" w15:restartNumberingAfterBreak="0">
    <w:nsid w:val="46393749"/>
    <w:multiLevelType w:val="hybridMultilevel"/>
    <w:tmpl w:val="D6BEDC10"/>
    <w:lvl w:ilvl="0" w:tplc="D0E46A06">
      <w:start w:val="1"/>
      <w:numFmt w:val="lowerLetter"/>
      <w:lvlText w:val="(%1)"/>
      <w:lvlJc w:val="left"/>
      <w:pPr>
        <w:ind w:left="987" w:hanging="420"/>
      </w:pPr>
      <w:rPr>
        <w:rFonts w:hint="default"/>
        <w:i w:val="0"/>
        <w:iCs w:val="0"/>
      </w:rPr>
    </w:lvl>
    <w:lvl w:ilvl="1" w:tplc="D0E46A06">
      <w:start w:val="1"/>
      <w:numFmt w:val="lowerLetter"/>
      <w:lvlText w:val="(%2)"/>
      <w:lvlJc w:val="left"/>
      <w:pPr>
        <w:ind w:left="1347" w:hanging="360"/>
      </w:pPr>
      <w:rPr>
        <w:rFonts w:hint="default"/>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15:restartNumberingAfterBreak="0">
    <w:nsid w:val="737B00F1"/>
    <w:multiLevelType w:val="hybridMultilevel"/>
    <w:tmpl w:val="E9064F52"/>
    <w:lvl w:ilvl="0" w:tplc="D0E46A06">
      <w:start w:val="1"/>
      <w:numFmt w:val="lowerLetter"/>
      <w:lvlText w:val="(%1)"/>
      <w:lvlJc w:val="left"/>
      <w:pPr>
        <w:ind w:left="2067" w:hanging="420"/>
      </w:pPr>
      <w:rPr>
        <w:rFonts w:hint="default"/>
        <w:i w:val="0"/>
        <w:iCs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AE2"/>
    <w:rsid w:val="00166343"/>
    <w:rsid w:val="001F6AE2"/>
    <w:rsid w:val="00370C78"/>
    <w:rsid w:val="0042450E"/>
    <w:rsid w:val="006D25CF"/>
    <w:rsid w:val="007704E0"/>
    <w:rsid w:val="007E23A4"/>
    <w:rsid w:val="007E6DB0"/>
    <w:rsid w:val="008B1EF1"/>
    <w:rsid w:val="00AD31ED"/>
    <w:rsid w:val="00B06070"/>
    <w:rsid w:val="00B120C5"/>
    <w:rsid w:val="00BC3F20"/>
    <w:rsid w:val="00CA0C4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148C0F"/>
  <w15:chartTrackingRefBased/>
  <w15:docId w15:val="{293B3202-2460-4F47-AA11-2A258F4C6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AE2"/>
    <w:pPr>
      <w:spacing w:after="120" w:line="240" w:lineRule="auto"/>
    </w:pPr>
    <w:rPr>
      <w:rFonts w:ascii="Times New Roman" w:eastAsia="Times New Roman" w:hAnsi="Times New Roman" w:cs="Times New Roman"/>
      <w:szCs w:val="24"/>
      <w:lang w:val="en-GB"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F6AE2"/>
    <w:pPr>
      <w:ind w:left="720"/>
      <w:contextualSpacing/>
    </w:pPr>
  </w:style>
  <w:style w:type="paragraph" w:styleId="En-tte">
    <w:name w:val="header"/>
    <w:basedOn w:val="Normal"/>
    <w:link w:val="En-tteCar"/>
    <w:unhideWhenUsed/>
    <w:rsid w:val="007E6DB0"/>
    <w:pPr>
      <w:tabs>
        <w:tab w:val="center" w:pos="4536"/>
        <w:tab w:val="right" w:pos="9072"/>
      </w:tabs>
      <w:spacing w:after="0"/>
    </w:pPr>
  </w:style>
  <w:style w:type="character" w:customStyle="1" w:styleId="En-tteCar">
    <w:name w:val="En-tête Car"/>
    <w:basedOn w:val="Policepardfaut"/>
    <w:link w:val="En-tte"/>
    <w:rsid w:val="007E6DB0"/>
    <w:rPr>
      <w:rFonts w:ascii="Times New Roman" w:eastAsia="Times New Roman" w:hAnsi="Times New Roman" w:cs="Times New Roman"/>
      <w:szCs w:val="24"/>
      <w:lang w:val="en-GB" w:eastAsia="fr-FR"/>
    </w:rPr>
  </w:style>
  <w:style w:type="paragraph" w:styleId="Pieddepage">
    <w:name w:val="footer"/>
    <w:basedOn w:val="Normal"/>
    <w:link w:val="PieddepageCar"/>
    <w:uiPriority w:val="99"/>
    <w:unhideWhenUsed/>
    <w:rsid w:val="007E6DB0"/>
    <w:pPr>
      <w:tabs>
        <w:tab w:val="center" w:pos="4536"/>
        <w:tab w:val="right" w:pos="9072"/>
      </w:tabs>
      <w:spacing w:after="0"/>
    </w:pPr>
  </w:style>
  <w:style w:type="character" w:customStyle="1" w:styleId="PieddepageCar">
    <w:name w:val="Pied de page Car"/>
    <w:basedOn w:val="Policepardfaut"/>
    <w:link w:val="Pieddepage"/>
    <w:uiPriority w:val="99"/>
    <w:rsid w:val="007E6DB0"/>
    <w:rPr>
      <w:rFonts w:ascii="Times New Roman" w:eastAsia="Times New Roman" w:hAnsi="Times New Roman" w:cs="Times New Roman"/>
      <w:szCs w:val="24"/>
      <w:lang w:val="en-GB" w:eastAsia="fr-FR"/>
    </w:rPr>
  </w:style>
  <w:style w:type="character" w:styleId="Numrodepage">
    <w:name w:val="page number"/>
    <w:basedOn w:val="Policepardfaut"/>
    <w:semiHidden/>
    <w:rsid w:val="00424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546</Words>
  <Characters>3118</Characters>
  <Application>Microsoft Office Word</Application>
  <DocSecurity>0</DocSecurity>
  <Lines>25</Lines>
  <Paragraphs>7</Paragraphs>
  <ScaleCrop>false</ScaleCrop>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Ohinata, Fumiko</dc:creator>
  <cp:keywords/>
  <dc:description/>
  <cp:lastModifiedBy>Thebaut, Camille</cp:lastModifiedBy>
  <cp:revision>6</cp:revision>
  <cp:lastPrinted>2021-09-10T07:30:00Z</cp:lastPrinted>
  <dcterms:created xsi:type="dcterms:W3CDTF">2021-09-10T11:37:00Z</dcterms:created>
  <dcterms:modified xsi:type="dcterms:W3CDTF">2021-09-10T14:46:00Z</dcterms:modified>
</cp:coreProperties>
</file>