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97" w:rsidRDefault="00536EB8" w:rsidP="0018093B">
      <w:pPr>
        <w:spacing w:before="1440"/>
        <w:jc w:val="center"/>
        <w:rPr>
          <w:rFonts w:ascii="Arial" w:hAnsi="Arial" w:cs="Arial"/>
          <w:bCs/>
          <w:sz w:val="28"/>
          <w:szCs w:val="28"/>
        </w:rPr>
      </w:pPr>
      <w:r w:rsidRPr="000A7297">
        <w:rPr>
          <w:rFonts w:ascii="Arial" w:hAnsi="Arial" w:cs="Arial"/>
          <w:bCs/>
          <w:sz w:val="28"/>
          <w:szCs w:val="28"/>
          <w:rtl/>
        </w:rPr>
        <w:t>اتفاقية صون التراث الثقافي غير المادي</w:t>
      </w:r>
    </w:p>
    <w:p w:rsidR="00536EB8" w:rsidRPr="000A7297" w:rsidRDefault="00536EB8" w:rsidP="0018093B">
      <w:pPr>
        <w:spacing w:before="1200"/>
        <w:jc w:val="center"/>
        <w:rPr>
          <w:rFonts w:ascii="Arial" w:hAnsi="Arial" w:cs="Arial"/>
          <w:bCs/>
          <w:sz w:val="28"/>
          <w:szCs w:val="28"/>
        </w:rPr>
      </w:pPr>
      <w:r w:rsidRPr="000A7297">
        <w:rPr>
          <w:rFonts w:ascii="Arial" w:hAnsi="Arial" w:cs="Arial"/>
          <w:bCs/>
          <w:sz w:val="28"/>
          <w:szCs w:val="28"/>
          <w:rtl/>
        </w:rPr>
        <w:t>الجمعية العامة للدول الأطراف في الاتفاقية</w:t>
      </w:r>
    </w:p>
    <w:p w:rsidR="00536EB8" w:rsidRPr="000A7297" w:rsidRDefault="00536EB8" w:rsidP="0057486C">
      <w:pPr>
        <w:spacing w:before="840"/>
        <w:jc w:val="center"/>
        <w:rPr>
          <w:rFonts w:ascii="Arial" w:hAnsi="Arial" w:cs="Arial"/>
          <w:bCs/>
          <w:sz w:val="28"/>
          <w:szCs w:val="28"/>
          <w:rtl/>
        </w:rPr>
      </w:pPr>
      <w:r w:rsidRPr="000A7297">
        <w:rPr>
          <w:rFonts w:ascii="Arial" w:hAnsi="Arial" w:cs="Arial"/>
          <w:bCs/>
          <w:sz w:val="28"/>
          <w:szCs w:val="28"/>
          <w:rtl/>
        </w:rPr>
        <w:t>الدورة السابعة</w:t>
      </w:r>
    </w:p>
    <w:p w:rsidR="00536EB8" w:rsidRPr="000A7297" w:rsidRDefault="00536EB8" w:rsidP="00DD2C63">
      <w:pPr>
        <w:jc w:val="center"/>
        <w:rPr>
          <w:rFonts w:ascii="Arial" w:hAnsi="Arial" w:cs="Arial"/>
          <w:bCs/>
          <w:sz w:val="28"/>
          <w:szCs w:val="28"/>
          <w:rtl/>
        </w:rPr>
      </w:pPr>
      <w:r w:rsidRPr="000A7297">
        <w:rPr>
          <w:rFonts w:ascii="Arial" w:hAnsi="Arial" w:cs="Arial"/>
          <w:bCs/>
          <w:sz w:val="28"/>
          <w:szCs w:val="28"/>
          <w:rtl/>
        </w:rPr>
        <w:t>مقر اليونسكو، القاعة 2</w:t>
      </w:r>
    </w:p>
    <w:p w:rsidR="00536EB8" w:rsidRPr="000A7297" w:rsidRDefault="00536EB8" w:rsidP="00C413A3">
      <w:pPr>
        <w:jc w:val="center"/>
        <w:rPr>
          <w:rFonts w:ascii="Arial" w:hAnsi="Arial" w:cs="Arial"/>
          <w:bCs/>
          <w:sz w:val="28"/>
          <w:szCs w:val="28"/>
          <w:rtl/>
        </w:rPr>
      </w:pPr>
      <w:r w:rsidRPr="000A7297">
        <w:rPr>
          <w:rFonts w:ascii="Arial" w:hAnsi="Arial" w:cs="Arial"/>
          <w:bCs/>
          <w:sz w:val="28"/>
          <w:szCs w:val="28"/>
          <w:rtl/>
        </w:rPr>
        <w:t xml:space="preserve">4-6 حزيران/يونيو </w:t>
      </w:r>
      <w:r w:rsidR="00C413A3" w:rsidRPr="000A7297">
        <w:rPr>
          <w:rFonts w:ascii="Arial" w:hAnsi="Arial" w:cs="Arial"/>
          <w:b/>
          <w:sz w:val="28"/>
          <w:szCs w:val="28"/>
        </w:rPr>
        <w:t>2018</w:t>
      </w:r>
    </w:p>
    <w:p w:rsidR="00536EB8" w:rsidRPr="000A7297" w:rsidRDefault="00536EB8" w:rsidP="00C22561">
      <w:pPr>
        <w:pStyle w:val="Sansinterligne2"/>
        <w:spacing w:before="1200"/>
        <w:jc w:val="center"/>
        <w:rPr>
          <w:rFonts w:ascii="Arial" w:hAnsi="Arial" w:cs="Arial"/>
          <w:bCs/>
          <w:sz w:val="28"/>
          <w:szCs w:val="28"/>
        </w:rPr>
      </w:pPr>
      <w:r w:rsidRPr="000A7297">
        <w:rPr>
          <w:rFonts w:ascii="Arial" w:hAnsi="Arial" w:cs="Arial"/>
          <w:bCs/>
          <w:sz w:val="28"/>
          <w:szCs w:val="28"/>
          <w:u w:val="single"/>
          <w:rtl/>
        </w:rPr>
        <w:t>البند 5 من جدول الأعمال المؤقت:</w:t>
      </w:r>
    </w:p>
    <w:p w:rsidR="00536EB8" w:rsidRPr="000A7297" w:rsidRDefault="00536EB8" w:rsidP="00C22561">
      <w:pPr>
        <w:pStyle w:val="Sansinterligne2"/>
        <w:spacing w:after="1200"/>
        <w:jc w:val="center"/>
        <w:rPr>
          <w:rFonts w:ascii="Arial" w:hAnsi="Arial" w:cs="Arial"/>
          <w:bCs/>
          <w:sz w:val="28"/>
          <w:szCs w:val="28"/>
        </w:rPr>
      </w:pPr>
      <w:r w:rsidRPr="000A7297">
        <w:rPr>
          <w:rFonts w:ascii="Arial" w:hAnsi="Arial" w:cs="Arial"/>
          <w:bCs/>
          <w:sz w:val="28"/>
          <w:szCs w:val="28"/>
          <w:rtl/>
        </w:rPr>
        <w:t>تقرير اللجنة إلى الجمعية العامة</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tblGrid>
      <w:tr w:rsidR="00536EB8" w:rsidRPr="000A7297">
        <w:trPr>
          <w:jc w:val="center"/>
        </w:trPr>
        <w:tc>
          <w:tcPr>
            <w:tcW w:w="7825" w:type="dxa"/>
            <w:vAlign w:val="center"/>
          </w:tcPr>
          <w:p w:rsidR="00536EB8" w:rsidRPr="000A7297" w:rsidRDefault="00536EB8" w:rsidP="00C22561">
            <w:pPr>
              <w:pStyle w:val="Sansinterligne1"/>
              <w:spacing w:before="200" w:after="200"/>
              <w:jc w:val="center"/>
              <w:rPr>
                <w:rFonts w:ascii="Arial" w:eastAsia="Times New Roman" w:hAnsi="Arial" w:cs="Arial"/>
                <w:b/>
                <w:sz w:val="28"/>
                <w:szCs w:val="28"/>
              </w:rPr>
            </w:pPr>
            <w:r w:rsidRPr="000A7297">
              <w:rPr>
                <w:rFonts w:ascii="Arial" w:hAnsi="Arial" w:cs="Arial"/>
                <w:bCs/>
                <w:sz w:val="28"/>
                <w:szCs w:val="28"/>
                <w:rtl/>
                <w:lang w:bidi="ar-QA"/>
              </w:rPr>
              <w:t>الملخص</w:t>
            </w:r>
          </w:p>
          <w:p w:rsidR="00536EB8" w:rsidRPr="000A7297" w:rsidRDefault="00536EB8" w:rsidP="00C413A3">
            <w:pPr>
              <w:pStyle w:val="Sansinterligne1"/>
              <w:jc w:val="both"/>
              <w:rPr>
                <w:rFonts w:ascii="Arial" w:eastAsia="Times New Roman" w:hAnsi="Arial" w:cs="Arial"/>
                <w:b/>
                <w:sz w:val="28"/>
                <w:szCs w:val="28"/>
              </w:rPr>
            </w:pPr>
            <w:r w:rsidRPr="000A7297">
              <w:rPr>
                <w:rFonts w:ascii="Arial" w:hAnsi="Arial" w:cs="Arial"/>
                <w:sz w:val="28"/>
                <w:szCs w:val="28"/>
                <w:rtl/>
                <w:lang w:bidi="ar-QA"/>
              </w:rPr>
              <w:t xml:space="preserve">تنص المادة 30.1 من اتفاقية </w:t>
            </w:r>
            <w:r w:rsidR="00C413A3" w:rsidRPr="000A7297">
              <w:rPr>
                <w:rFonts w:ascii="Arial" w:hAnsi="Arial" w:cs="Arial"/>
                <w:sz w:val="28"/>
                <w:szCs w:val="28"/>
                <w:lang w:bidi="ar-QA"/>
              </w:rPr>
              <w:t>2003</w:t>
            </w:r>
            <w:r w:rsidRPr="000A7297">
              <w:rPr>
                <w:rFonts w:ascii="Arial" w:hAnsi="Arial" w:cs="Arial"/>
                <w:sz w:val="28"/>
                <w:szCs w:val="28"/>
                <w:rtl/>
                <w:lang w:bidi="ar-QA"/>
              </w:rPr>
              <w:t xml:space="preserve"> على أن "ترفع اللجنة إلى كل دورة من دورات الجمعية العامة تقريراً تعده بالاستناد إلى أنشطتها [...]".</w:t>
            </w:r>
            <w:r w:rsidRPr="000A7297">
              <w:rPr>
                <w:rFonts w:ascii="Arial" w:eastAsia="Times New Roman" w:hAnsi="Arial" w:cs="Arial"/>
                <w:sz w:val="28"/>
                <w:szCs w:val="28"/>
              </w:rPr>
              <w:t xml:space="preserve"> </w:t>
            </w:r>
            <w:r w:rsidRPr="000A7297">
              <w:rPr>
                <w:rFonts w:ascii="Arial" w:hAnsi="Arial" w:cs="Arial"/>
                <w:sz w:val="28"/>
                <w:szCs w:val="28"/>
                <w:rtl/>
                <w:lang w:bidi="ar-QA"/>
              </w:rPr>
              <w:t>تتضمّن هذه الوثيقة مشروع تقرير اللجنة على أساس أنشطتها في الفترة الممتدة من كانون الثاني/يناير 2016 إلى كانون الأول/ديسمبر 2017 وتقارير الدول الأطراف التي اعتمدتها خلال دورتيها الحادية عشرة والثانية عشرة.</w:t>
            </w:r>
          </w:p>
          <w:p w:rsidR="00536EB8" w:rsidRPr="000A7297" w:rsidRDefault="00536EB8" w:rsidP="000A7297">
            <w:pPr>
              <w:pStyle w:val="Sansinterligne2"/>
              <w:spacing w:before="120" w:after="120"/>
              <w:jc w:val="both"/>
              <w:rPr>
                <w:rFonts w:ascii="Arial" w:hAnsi="Arial" w:cs="Arial"/>
                <w:b/>
                <w:sz w:val="28"/>
                <w:szCs w:val="28"/>
              </w:rPr>
            </w:pPr>
            <w:r w:rsidRPr="000A7297">
              <w:rPr>
                <w:rFonts w:ascii="Arial" w:hAnsi="Arial" w:cs="Arial"/>
                <w:bCs/>
                <w:sz w:val="28"/>
                <w:szCs w:val="28"/>
                <w:rtl/>
                <w:lang w:bidi="ar-QA"/>
              </w:rPr>
              <w:t xml:space="preserve">القرار المطلوب: </w:t>
            </w:r>
            <w:r w:rsidRPr="000A7297">
              <w:rPr>
                <w:rFonts w:ascii="Arial" w:hAnsi="Arial" w:cs="Arial"/>
                <w:b/>
                <w:sz w:val="28"/>
                <w:szCs w:val="28"/>
                <w:rtl/>
                <w:lang w:bidi="ar-QA"/>
              </w:rPr>
              <w:t>الفقرة 3</w:t>
            </w:r>
          </w:p>
        </w:tc>
      </w:tr>
    </w:tbl>
    <w:p w:rsidR="000A7297" w:rsidRDefault="000A7297">
      <w:pPr>
        <w:bidi w:val="0"/>
        <w:rPr>
          <w:rFonts w:ascii="Arial" w:hAnsi="Arial" w:cs="Arial"/>
          <w:sz w:val="28"/>
          <w:szCs w:val="28"/>
          <w:rtl/>
          <w:lang w:eastAsia="en-US"/>
        </w:rPr>
      </w:pPr>
      <w:r>
        <w:rPr>
          <w:rFonts w:cs="Arial"/>
          <w:sz w:val="28"/>
          <w:szCs w:val="28"/>
          <w:rtl/>
        </w:rPr>
        <w:br w:type="page"/>
      </w:r>
    </w:p>
    <w:p w:rsidR="00536EB8" w:rsidRPr="000A7297" w:rsidRDefault="00536EB8" w:rsidP="00C22561">
      <w:pPr>
        <w:pStyle w:val="Marge"/>
        <w:numPr>
          <w:ilvl w:val="0"/>
          <w:numId w:val="13"/>
        </w:numPr>
        <w:spacing w:after="120"/>
        <w:ind w:left="567" w:hanging="567"/>
        <w:rPr>
          <w:rFonts w:eastAsia="Times New Roman" w:cs="Arial"/>
          <w:sz w:val="28"/>
          <w:szCs w:val="28"/>
          <w:lang w:val="en-GB"/>
        </w:rPr>
      </w:pPr>
      <w:r w:rsidRPr="000A7297">
        <w:rPr>
          <w:rFonts w:cs="Arial"/>
          <w:sz w:val="28"/>
          <w:szCs w:val="28"/>
          <w:rtl/>
          <w:lang w:bidi="ar-QA"/>
        </w:rPr>
        <w:lastRenderedPageBreak/>
        <w:t>تنص المادة 30.1 من اتفاقية صون التراث الثقافي غير المادي على أن "ترفع اللجنة إلى كل دورة من دورات الجمعية العامة تقريراً تعده بالاستناد إلى أنشطتها [...]".</w:t>
      </w:r>
      <w:r w:rsidRPr="000A7297">
        <w:rPr>
          <w:rFonts w:eastAsia="Times New Roman" w:cs="Arial"/>
          <w:sz w:val="28"/>
          <w:szCs w:val="28"/>
          <w:lang w:val="en-US"/>
        </w:rPr>
        <w:t xml:space="preserve"> </w:t>
      </w:r>
      <w:r w:rsidRPr="000A7297">
        <w:rPr>
          <w:rFonts w:cs="Arial"/>
          <w:sz w:val="28"/>
          <w:szCs w:val="28"/>
          <w:rtl/>
          <w:lang w:bidi="ar-QA"/>
        </w:rPr>
        <w:t>وتستطرد المادة 30.</w:t>
      </w:r>
      <w:bookmarkStart w:id="0" w:name="_GoBack"/>
      <w:bookmarkEnd w:id="0"/>
      <w:r w:rsidRPr="000A7297">
        <w:rPr>
          <w:rFonts w:cs="Arial"/>
          <w:sz w:val="28"/>
          <w:szCs w:val="28"/>
          <w:rtl/>
          <w:lang w:bidi="ar-QA"/>
        </w:rPr>
        <w:t>2 قائلة "يُعرض هذا التقرير على المؤتمر العام لليونسكو ليأخذ علماً به".</w:t>
      </w:r>
      <w:r w:rsidRPr="000A7297">
        <w:rPr>
          <w:rFonts w:eastAsia="Times New Roman" w:cs="Arial"/>
          <w:sz w:val="28"/>
          <w:szCs w:val="28"/>
          <w:lang w:val="en-GB"/>
        </w:rPr>
        <w:t xml:space="preserve"> </w:t>
      </w:r>
      <w:r w:rsidRPr="000A7297">
        <w:rPr>
          <w:rFonts w:cs="Arial"/>
          <w:sz w:val="28"/>
          <w:szCs w:val="28"/>
          <w:rtl/>
          <w:lang w:bidi="ar-QA"/>
        </w:rPr>
        <w:t xml:space="preserve">كما طلبت الجمعية العامة من اللجنة، بموجب قرارها </w:t>
      </w:r>
      <w:r w:rsidRPr="000A7297">
        <w:rPr>
          <w:rFonts w:eastAsia="Times New Roman" w:cs="Arial"/>
          <w:sz w:val="28"/>
          <w:szCs w:val="28"/>
          <w:lang w:val="en-GB" w:bidi="ar-QA"/>
        </w:rPr>
        <w:t>6.GA 5</w:t>
      </w:r>
      <w:r w:rsidRPr="000A7297">
        <w:rPr>
          <w:rFonts w:cs="Arial"/>
          <w:sz w:val="28"/>
          <w:szCs w:val="28"/>
          <w:rtl/>
          <w:lang w:bidi="ar-QA"/>
        </w:rPr>
        <w:t xml:space="preserve">، تقديم تقرير بشأن أنشطتها خلال الفترة الممتدّة من كانون الثاني/يناير 2016 إلى كانون الأول/ديسمبر </w:t>
      </w:r>
      <w:r w:rsidRPr="000A7297">
        <w:rPr>
          <w:rFonts w:eastAsia="Times New Roman" w:cs="Arial"/>
          <w:sz w:val="28"/>
          <w:szCs w:val="28"/>
          <w:lang w:val="en-GB" w:bidi="ar-QA"/>
        </w:rPr>
        <w:t>2017</w:t>
      </w:r>
      <w:r w:rsidRPr="000A7297">
        <w:rPr>
          <w:rFonts w:cs="Arial"/>
          <w:sz w:val="28"/>
          <w:szCs w:val="28"/>
          <w:rtl/>
          <w:lang w:bidi="ar-QA"/>
        </w:rPr>
        <w:t xml:space="preserve"> لعرضه على الجمعية العامة خلال دورتها السابعة [...] وتقديم التقارير المستقبلية كلّ سنتين بعد ذلك".</w:t>
      </w:r>
      <w:r w:rsidRPr="000A7297">
        <w:rPr>
          <w:rFonts w:eastAsia="Times New Roman" w:cs="Arial"/>
          <w:sz w:val="28"/>
          <w:szCs w:val="28"/>
          <w:lang w:val="en-GB"/>
        </w:rPr>
        <w:t xml:space="preserve"> </w:t>
      </w:r>
      <w:r w:rsidRPr="000A7297">
        <w:rPr>
          <w:rFonts w:cs="Arial"/>
          <w:sz w:val="28"/>
          <w:szCs w:val="28"/>
          <w:rtl/>
          <w:lang w:bidi="ar-QA"/>
        </w:rPr>
        <w:t>وفي هذا الإطار، يرد تقرير اللجنة أدناه في ملحق هذه الوثيقة. كما يتضمن هذا التقرير مجموعة من التقارير الوطنية المقدمة من الدول الأطراف بموجب المادة 29 من الاتفاقية والتي اعتمدتها اللجنة خلال دورتيها الحادية عشرة والثانية عشرة.</w:t>
      </w:r>
    </w:p>
    <w:p w:rsidR="00536EB8" w:rsidRPr="000A7297" w:rsidRDefault="00536EB8" w:rsidP="00C22561">
      <w:pPr>
        <w:pStyle w:val="Marge"/>
        <w:numPr>
          <w:ilvl w:val="0"/>
          <w:numId w:val="13"/>
        </w:numPr>
        <w:spacing w:after="120"/>
        <w:ind w:left="567" w:hanging="567"/>
        <w:rPr>
          <w:rFonts w:eastAsia="Times New Roman" w:cs="Arial"/>
          <w:sz w:val="28"/>
          <w:szCs w:val="28"/>
          <w:lang w:val="en-GB"/>
        </w:rPr>
      </w:pPr>
      <w:r w:rsidRPr="000A7297">
        <w:rPr>
          <w:rFonts w:cs="Arial"/>
          <w:sz w:val="28"/>
          <w:szCs w:val="28"/>
          <w:rtl/>
          <w:lang w:bidi="ar-QA"/>
        </w:rPr>
        <w:t xml:space="preserve">ويتعيّن قراءة هذا التقرير بالتزامن مع التقرير الذي قدّمته الأمانة عن أنشطتها وملحقاته المتعلّقة بمتابعة عمليات التدقيق والتقييم (الوثيقة </w:t>
      </w:r>
      <w:hyperlink r:id="rId7" w:history="1">
        <w:r w:rsidRPr="00070763">
          <w:rPr>
            <w:rStyle w:val="Hyperlink"/>
            <w:rFonts w:eastAsia="Times New Roman" w:cs="Arial"/>
            <w:sz w:val="28"/>
            <w:szCs w:val="28"/>
            <w:lang w:val="en-GB" w:bidi="ar-QA"/>
          </w:rPr>
          <w:t>ITH/18/7.GA/7</w:t>
        </w:r>
      </w:hyperlink>
      <w:r w:rsidRPr="000A7297">
        <w:rPr>
          <w:rFonts w:cs="Arial"/>
          <w:sz w:val="28"/>
          <w:szCs w:val="28"/>
          <w:rtl/>
          <w:lang w:bidi="ar-QA"/>
        </w:rPr>
        <w:t xml:space="preserve">) والتقرير المالي لصندوق صون التراث الثقافي غير المادي (الوثيقة </w:t>
      </w:r>
      <w:hyperlink r:id="rId8" w:history="1">
        <w:r w:rsidRPr="00070763">
          <w:rPr>
            <w:rStyle w:val="Hyperlink"/>
            <w:rFonts w:eastAsia="Times New Roman" w:cs="Arial"/>
            <w:sz w:val="28"/>
            <w:szCs w:val="28"/>
            <w:lang w:val="en-GB" w:bidi="ar-QA"/>
          </w:rPr>
          <w:t>ITH/18/7.GA/INF.8</w:t>
        </w:r>
      </w:hyperlink>
      <w:r w:rsidRPr="000A7297">
        <w:rPr>
          <w:rFonts w:cs="Arial"/>
          <w:sz w:val="28"/>
          <w:szCs w:val="28"/>
          <w:rtl/>
          <w:lang w:bidi="ar-QA"/>
        </w:rPr>
        <w:t>).</w:t>
      </w:r>
    </w:p>
    <w:p w:rsidR="00536EB8" w:rsidRPr="000A7297" w:rsidRDefault="00536EB8" w:rsidP="00C22561">
      <w:pPr>
        <w:keepNext/>
        <w:numPr>
          <w:ilvl w:val="0"/>
          <w:numId w:val="13"/>
        </w:numPr>
        <w:ind w:left="567" w:hanging="567"/>
        <w:jc w:val="both"/>
        <w:rPr>
          <w:rFonts w:ascii="Arial" w:eastAsia="Times New Roman" w:hAnsi="Arial" w:cs="Arial"/>
          <w:sz w:val="28"/>
          <w:szCs w:val="28"/>
          <w:lang w:val="en-GB"/>
        </w:rPr>
      </w:pPr>
      <w:r w:rsidRPr="000A7297">
        <w:rPr>
          <w:rFonts w:ascii="Arial" w:hAnsi="Arial" w:cs="Arial"/>
          <w:sz w:val="28"/>
          <w:szCs w:val="28"/>
          <w:rtl/>
          <w:lang w:bidi="ar-QA"/>
        </w:rPr>
        <w:t>وقد ترغب الجمعية العامة في اعتماد القرار التالي:</w:t>
      </w:r>
    </w:p>
    <w:p w:rsidR="00536EB8" w:rsidRPr="000A7297" w:rsidRDefault="00536EB8" w:rsidP="00C22561">
      <w:pPr>
        <w:pStyle w:val="GATitleResolution"/>
        <w:rPr>
          <w:rFonts w:eastAsia="Times New Roman"/>
          <w:sz w:val="28"/>
          <w:szCs w:val="28"/>
        </w:rPr>
      </w:pPr>
      <w:r w:rsidRPr="000A7297">
        <w:rPr>
          <w:bCs/>
          <w:sz w:val="28"/>
          <w:szCs w:val="28"/>
          <w:rtl/>
          <w:lang w:bidi="ar-QA"/>
        </w:rPr>
        <w:t xml:space="preserve">مشروع القرار </w:t>
      </w:r>
      <w:r w:rsidRPr="000A7297">
        <w:rPr>
          <w:rFonts w:eastAsia="Times New Roman"/>
          <w:bCs/>
          <w:sz w:val="28"/>
          <w:szCs w:val="28"/>
          <w:lang w:bidi="ar-QA"/>
        </w:rPr>
        <w:t>7.GA 5</w:t>
      </w:r>
    </w:p>
    <w:p w:rsidR="00536EB8" w:rsidRPr="000A7297" w:rsidRDefault="00536EB8" w:rsidP="00C22561">
      <w:pPr>
        <w:pStyle w:val="GAPreambulaResolution"/>
        <w:rPr>
          <w:rFonts w:eastAsia="Times New Roman"/>
          <w:sz w:val="28"/>
          <w:szCs w:val="28"/>
        </w:rPr>
      </w:pPr>
      <w:r w:rsidRPr="000A7297">
        <w:rPr>
          <w:sz w:val="28"/>
          <w:szCs w:val="28"/>
          <w:rtl/>
          <w:lang w:bidi="ar-QA"/>
        </w:rPr>
        <w:t>إنّ الجمعية العامة،</w:t>
      </w:r>
    </w:p>
    <w:p w:rsidR="00536EB8" w:rsidRPr="000A7297" w:rsidRDefault="00536EB8" w:rsidP="00C22561">
      <w:pPr>
        <w:pStyle w:val="COMParaDecision"/>
        <w:numPr>
          <w:ilvl w:val="0"/>
          <w:numId w:val="10"/>
        </w:numPr>
        <w:bidi/>
        <w:ind w:left="1134" w:hanging="567"/>
        <w:rPr>
          <w:rFonts w:eastAsia="Times New Roman"/>
          <w:sz w:val="28"/>
          <w:szCs w:val="28"/>
        </w:rPr>
      </w:pPr>
      <w:r w:rsidRPr="000A7297">
        <w:rPr>
          <w:sz w:val="28"/>
          <w:szCs w:val="28"/>
          <w:rtl/>
          <w:lang w:bidi="ar-QA"/>
        </w:rPr>
        <w:t>وقد درست</w:t>
      </w:r>
      <w:r w:rsidRPr="000A7297">
        <w:rPr>
          <w:sz w:val="28"/>
          <w:szCs w:val="28"/>
          <w:u w:val="none"/>
          <w:rtl/>
          <w:lang w:bidi="ar-QA"/>
        </w:rPr>
        <w:t xml:space="preserve"> الوثيقة </w:t>
      </w:r>
      <w:r w:rsidRPr="000A7297">
        <w:rPr>
          <w:rFonts w:eastAsia="Times New Roman"/>
          <w:sz w:val="28"/>
          <w:szCs w:val="28"/>
          <w:u w:val="none"/>
          <w:lang w:bidi="ar-QA"/>
        </w:rPr>
        <w:t>ITH/18/7.GA/5</w:t>
      </w:r>
      <w:r w:rsidRPr="000A7297">
        <w:rPr>
          <w:sz w:val="28"/>
          <w:szCs w:val="28"/>
          <w:u w:val="none"/>
          <w:rtl/>
          <w:lang w:bidi="ar-QA"/>
        </w:rPr>
        <w:t>،</w:t>
      </w:r>
    </w:p>
    <w:p w:rsidR="00536EB8" w:rsidRPr="000A7297" w:rsidRDefault="00536EB8" w:rsidP="00C22561">
      <w:pPr>
        <w:pStyle w:val="COMParaDecision"/>
        <w:numPr>
          <w:ilvl w:val="0"/>
          <w:numId w:val="10"/>
        </w:numPr>
        <w:bidi/>
        <w:ind w:left="1134" w:hanging="567"/>
        <w:rPr>
          <w:rFonts w:eastAsia="Times New Roman"/>
          <w:sz w:val="28"/>
          <w:szCs w:val="28"/>
        </w:rPr>
      </w:pPr>
      <w:r w:rsidRPr="000A7297">
        <w:rPr>
          <w:sz w:val="28"/>
          <w:szCs w:val="28"/>
          <w:rtl/>
          <w:lang w:bidi="ar-QA"/>
        </w:rPr>
        <w:t>وإذ تذكّر</w:t>
      </w:r>
      <w:r w:rsidRPr="000A7297">
        <w:rPr>
          <w:sz w:val="28"/>
          <w:szCs w:val="28"/>
          <w:u w:val="none"/>
          <w:rtl/>
          <w:lang w:bidi="ar-QA"/>
        </w:rPr>
        <w:t xml:space="preserve"> بالمادة 30 من الاتفاقية،</w:t>
      </w:r>
    </w:p>
    <w:p w:rsidR="00536EB8" w:rsidRPr="000A7297" w:rsidRDefault="00536EB8" w:rsidP="00C22561">
      <w:pPr>
        <w:pStyle w:val="COMParaDecision"/>
        <w:numPr>
          <w:ilvl w:val="0"/>
          <w:numId w:val="10"/>
        </w:numPr>
        <w:bidi/>
        <w:ind w:left="1134" w:hanging="567"/>
        <w:rPr>
          <w:rFonts w:eastAsia="Times New Roman"/>
          <w:sz w:val="28"/>
          <w:szCs w:val="28"/>
          <w:u w:val="none"/>
        </w:rPr>
      </w:pPr>
      <w:r w:rsidRPr="000A7297">
        <w:rPr>
          <w:sz w:val="28"/>
          <w:szCs w:val="28"/>
          <w:rtl/>
          <w:lang w:bidi="ar-QA"/>
        </w:rPr>
        <w:t>وترحّب</w:t>
      </w:r>
      <w:r w:rsidRPr="000A7297">
        <w:rPr>
          <w:sz w:val="28"/>
          <w:szCs w:val="28"/>
          <w:u w:val="none"/>
          <w:rtl/>
          <w:lang w:bidi="ar-QA"/>
        </w:rPr>
        <w:t xml:space="preserve"> بالدول </w:t>
      </w:r>
      <w:r w:rsidRPr="000A7297">
        <w:rPr>
          <w:rStyle w:val="shorttext"/>
          <w:color w:val="222222"/>
          <w:sz w:val="28"/>
          <w:szCs w:val="28"/>
          <w:u w:val="none"/>
          <w:rtl/>
          <w:lang w:bidi="ar-QA"/>
        </w:rPr>
        <w:t>الإحدى عشر</w:t>
      </w:r>
      <w:r w:rsidRPr="000A7297">
        <w:rPr>
          <w:sz w:val="28"/>
          <w:szCs w:val="28"/>
          <w:u w:val="none"/>
          <w:rtl/>
          <w:lang w:bidi="ar-QA"/>
        </w:rPr>
        <w:t xml:space="preserve"> – الرأس الأخضر وجزر كوك وغانا وغينيا بيساو ومالطا وسانت كيتس ونيفس وجنوب السودان وسورينام وتايلند وتيمور- ليشتي وتوفالو – التي صدقت على الاتفاقية خلال فترة التقرير، بالإضافة إلى دولتين اثنين – </w:t>
      </w:r>
      <w:proofErr w:type="spellStart"/>
      <w:r w:rsidRPr="000A7297">
        <w:rPr>
          <w:sz w:val="28"/>
          <w:szCs w:val="28"/>
          <w:u w:val="none"/>
          <w:rtl/>
          <w:lang w:bidi="ar-QA"/>
        </w:rPr>
        <w:t>كيريباس</w:t>
      </w:r>
      <w:proofErr w:type="spellEnd"/>
      <w:r w:rsidRPr="000A7297">
        <w:rPr>
          <w:sz w:val="28"/>
          <w:szCs w:val="28"/>
          <w:u w:val="none"/>
          <w:rtl/>
          <w:lang w:bidi="ar-QA"/>
        </w:rPr>
        <w:t xml:space="preserve"> وسنغافورة – صدقتا على الاتفاقية بعد فترة التقرير، </w:t>
      </w:r>
      <w:r w:rsidRPr="000A7297">
        <w:rPr>
          <w:sz w:val="28"/>
          <w:szCs w:val="28"/>
          <w:rtl/>
          <w:lang w:bidi="ar-QA"/>
        </w:rPr>
        <w:t>وتلاحظ بارتياح</w:t>
      </w:r>
      <w:r w:rsidRPr="000A7297">
        <w:rPr>
          <w:sz w:val="28"/>
          <w:szCs w:val="28"/>
          <w:u w:val="none"/>
          <w:rtl/>
          <w:lang w:bidi="ar-QA"/>
        </w:rPr>
        <w:t xml:space="preserve"> الوتيرة السريعة والمتواصلة للتصديق؛</w:t>
      </w:r>
    </w:p>
    <w:p w:rsidR="00536EB8" w:rsidRPr="000A7297" w:rsidRDefault="00536EB8" w:rsidP="00C22561">
      <w:pPr>
        <w:pStyle w:val="COMParaDecision"/>
        <w:numPr>
          <w:ilvl w:val="0"/>
          <w:numId w:val="10"/>
        </w:numPr>
        <w:bidi/>
        <w:ind w:left="1134" w:hanging="567"/>
        <w:rPr>
          <w:rFonts w:eastAsia="Times New Roman"/>
          <w:sz w:val="28"/>
          <w:szCs w:val="28"/>
        </w:rPr>
      </w:pPr>
      <w:r w:rsidRPr="000A7297">
        <w:rPr>
          <w:sz w:val="28"/>
          <w:szCs w:val="28"/>
          <w:rtl/>
          <w:lang w:bidi="ar-QA"/>
        </w:rPr>
        <w:t>تحيط علماً</w:t>
      </w:r>
      <w:r w:rsidRPr="000A7297">
        <w:rPr>
          <w:sz w:val="28"/>
          <w:szCs w:val="28"/>
          <w:u w:val="none"/>
          <w:rtl/>
          <w:lang w:bidi="ar-QA"/>
        </w:rPr>
        <w:t xml:space="preserve"> بتقرير اللجنة إلى الجمعية العامة بشأن أنشطتها خلال الفترة الممتدّة من كانون الثاني/يناير 2016 إلى كانون الأول/ديسمبر 2017 الوارد بملحق هذه الوثيقة </w:t>
      </w:r>
      <w:r w:rsidRPr="000A7297">
        <w:rPr>
          <w:sz w:val="28"/>
          <w:szCs w:val="28"/>
          <w:rtl/>
          <w:lang w:bidi="ar-QA"/>
        </w:rPr>
        <w:t>وتشكر</w:t>
      </w:r>
      <w:r w:rsidRPr="000A7297">
        <w:rPr>
          <w:sz w:val="28"/>
          <w:szCs w:val="28"/>
          <w:u w:val="none"/>
          <w:rtl/>
          <w:lang w:bidi="ar-QA"/>
        </w:rPr>
        <w:t xml:space="preserve"> اللجنة على عملها الفعال؛</w:t>
      </w:r>
    </w:p>
    <w:p w:rsidR="00536EB8" w:rsidRPr="000A7297" w:rsidRDefault="00536EB8" w:rsidP="00C22561">
      <w:pPr>
        <w:pStyle w:val="COMParaDecision"/>
        <w:numPr>
          <w:ilvl w:val="0"/>
          <w:numId w:val="10"/>
        </w:numPr>
        <w:bidi/>
        <w:ind w:left="1134" w:hanging="567"/>
        <w:rPr>
          <w:rFonts w:eastAsia="Times New Roman"/>
          <w:sz w:val="28"/>
          <w:szCs w:val="28"/>
          <w:u w:val="none"/>
        </w:rPr>
      </w:pPr>
      <w:r w:rsidRPr="000A7297">
        <w:rPr>
          <w:sz w:val="28"/>
          <w:szCs w:val="28"/>
          <w:rtl/>
          <w:lang w:bidi="ar-QA"/>
        </w:rPr>
        <w:t>وتهنئ</w:t>
      </w:r>
      <w:r w:rsidRPr="000A7297">
        <w:rPr>
          <w:sz w:val="28"/>
          <w:szCs w:val="28"/>
          <w:u w:val="none"/>
          <w:rtl/>
          <w:lang w:bidi="ar-QA"/>
        </w:rPr>
        <w:t xml:space="preserve"> اللجنة على التقدّم المحرز في تحسين </w:t>
      </w:r>
      <w:proofErr w:type="spellStart"/>
      <w:r w:rsidRPr="000A7297">
        <w:rPr>
          <w:sz w:val="28"/>
          <w:szCs w:val="28"/>
          <w:u w:val="none"/>
          <w:rtl/>
          <w:lang w:bidi="ar-QA"/>
        </w:rPr>
        <w:t>حوكمة</w:t>
      </w:r>
      <w:proofErr w:type="spellEnd"/>
      <w:r w:rsidRPr="000A7297">
        <w:rPr>
          <w:sz w:val="28"/>
          <w:szCs w:val="28"/>
          <w:u w:val="none"/>
          <w:rtl/>
          <w:lang w:bidi="ar-QA"/>
        </w:rPr>
        <w:t xml:space="preserve"> الاتفاقية ولاسيما العمل </w:t>
      </w:r>
      <w:proofErr w:type="spellStart"/>
      <w:r w:rsidRPr="000A7297">
        <w:rPr>
          <w:sz w:val="28"/>
          <w:szCs w:val="28"/>
          <w:u w:val="none"/>
          <w:rtl/>
          <w:lang w:bidi="ar-QA"/>
        </w:rPr>
        <w:t>التطلعي</w:t>
      </w:r>
      <w:proofErr w:type="spellEnd"/>
      <w:r w:rsidRPr="000A7297">
        <w:rPr>
          <w:sz w:val="28"/>
          <w:szCs w:val="28"/>
          <w:u w:val="none"/>
          <w:rtl/>
          <w:lang w:bidi="ar-QA"/>
        </w:rPr>
        <w:t xml:space="preserve"> المنجز حتى الآن لوضع إطار نتائج شامل لقياس أثر الاتفاقية على مختلف المستويات، فضلاً عن أعمال الفريق العامل المخصّص الذي أنشأته اللجنة في دورتها الحادية عشرة؛</w:t>
      </w:r>
    </w:p>
    <w:p w:rsidR="00536EB8" w:rsidRPr="000A7297" w:rsidRDefault="00536EB8" w:rsidP="00C22561">
      <w:pPr>
        <w:pStyle w:val="COMParaDecision"/>
        <w:numPr>
          <w:ilvl w:val="0"/>
          <w:numId w:val="10"/>
        </w:numPr>
        <w:bidi/>
        <w:ind w:left="1134" w:hanging="567"/>
        <w:rPr>
          <w:rFonts w:eastAsia="Times New Roman"/>
          <w:sz w:val="28"/>
          <w:szCs w:val="28"/>
          <w:u w:val="none"/>
        </w:rPr>
      </w:pPr>
      <w:r w:rsidRPr="000A7297">
        <w:rPr>
          <w:sz w:val="28"/>
          <w:szCs w:val="28"/>
          <w:rtl/>
          <w:lang w:bidi="ar-QA"/>
        </w:rPr>
        <w:t>كما تهنئ</w:t>
      </w:r>
      <w:r w:rsidRPr="000A7297">
        <w:rPr>
          <w:sz w:val="28"/>
          <w:szCs w:val="28"/>
          <w:u w:val="none"/>
          <w:rtl/>
          <w:lang w:bidi="ar-QA"/>
        </w:rPr>
        <w:t xml:space="preserve"> اللجنة على ما أولته من عناية متواصلة لبناء القدرات في مجال تنفيذ الاتفاقية على الصعيد الوطني </w:t>
      </w:r>
      <w:r w:rsidRPr="000A7297">
        <w:rPr>
          <w:sz w:val="28"/>
          <w:szCs w:val="28"/>
          <w:rtl/>
          <w:lang w:bidi="ar-QA"/>
        </w:rPr>
        <w:t>وترحّب</w:t>
      </w:r>
      <w:r w:rsidRPr="000A7297">
        <w:rPr>
          <w:sz w:val="28"/>
          <w:szCs w:val="28"/>
          <w:u w:val="none"/>
          <w:rtl/>
          <w:lang w:bidi="ar-QA"/>
        </w:rPr>
        <w:t xml:space="preserve"> بالعناية الخاصة التي يتمّ ايلاؤها لصون التراث الثقافي غير المادي في التعليم الرسمي وغير الرسمي؛ </w:t>
      </w:r>
    </w:p>
    <w:p w:rsidR="00536EB8" w:rsidRPr="000A7297" w:rsidRDefault="00536EB8" w:rsidP="00C22561">
      <w:pPr>
        <w:pStyle w:val="COMParaDecision"/>
        <w:numPr>
          <w:ilvl w:val="0"/>
          <w:numId w:val="10"/>
        </w:numPr>
        <w:bidi/>
        <w:ind w:left="1134" w:hanging="567"/>
        <w:rPr>
          <w:rFonts w:eastAsia="Times New Roman"/>
          <w:sz w:val="28"/>
          <w:szCs w:val="28"/>
          <w:u w:val="none"/>
        </w:rPr>
      </w:pPr>
      <w:r w:rsidRPr="000A7297">
        <w:rPr>
          <w:sz w:val="28"/>
          <w:szCs w:val="28"/>
          <w:rtl/>
          <w:lang w:bidi="ar-QA"/>
        </w:rPr>
        <w:t>وتقدّر</w:t>
      </w:r>
      <w:r w:rsidRPr="000A7297">
        <w:rPr>
          <w:sz w:val="28"/>
          <w:szCs w:val="28"/>
          <w:u w:val="none"/>
          <w:rtl/>
          <w:lang w:bidi="ar-QA"/>
        </w:rPr>
        <w:t xml:space="preserve"> الاهتمام الذي أبدته اللجنة لضرورة زيادة وضوح الاتفاقية من خلال تصميم أدوات اتصال وتواصل خاصة بالاتفاقية؛</w:t>
      </w:r>
    </w:p>
    <w:p w:rsidR="00536EB8" w:rsidRPr="000A7297" w:rsidRDefault="00536EB8" w:rsidP="00C22561">
      <w:pPr>
        <w:pStyle w:val="COMParaDecision"/>
        <w:numPr>
          <w:ilvl w:val="0"/>
          <w:numId w:val="10"/>
        </w:numPr>
        <w:bidi/>
        <w:ind w:left="1134" w:hanging="567"/>
        <w:rPr>
          <w:rFonts w:eastAsia="Times New Roman"/>
          <w:sz w:val="28"/>
          <w:szCs w:val="28"/>
          <w:u w:val="none"/>
        </w:rPr>
      </w:pPr>
      <w:r w:rsidRPr="000A7297">
        <w:rPr>
          <w:sz w:val="28"/>
          <w:szCs w:val="28"/>
          <w:rtl/>
          <w:lang w:bidi="ar-QA"/>
        </w:rPr>
        <w:t>وتقرّ بارتياح</w:t>
      </w:r>
      <w:r w:rsidRPr="000A7297">
        <w:rPr>
          <w:sz w:val="28"/>
          <w:szCs w:val="28"/>
          <w:u w:val="none"/>
          <w:rtl/>
          <w:lang w:bidi="ar-QA"/>
        </w:rPr>
        <w:t xml:space="preserve"> بالأهمية المتواصلة التي أبدتها الدول الأطراف لآليات الاتفاقية الخاصة بالتعاون الدولي، ولا سيما قائمة التراث الثقافي غير المادي الذي يحتاج إلى صون عاجل، والقائمة التمثيلية للتراث الثقافي للبشرية، وسجل أفضل ممارسات الصون، وطلبات المساعدات الدولية؛</w:t>
      </w:r>
    </w:p>
    <w:p w:rsidR="00536EB8" w:rsidRPr="000A7297" w:rsidRDefault="00536EB8" w:rsidP="00C22561">
      <w:pPr>
        <w:pStyle w:val="5GAParaResolution"/>
        <w:numPr>
          <w:ilvl w:val="0"/>
          <w:numId w:val="10"/>
        </w:numPr>
        <w:bidi/>
        <w:ind w:left="1134" w:hanging="567"/>
        <w:rPr>
          <w:rFonts w:eastAsia="Times New Roman"/>
          <w:sz w:val="28"/>
          <w:szCs w:val="28"/>
        </w:rPr>
      </w:pPr>
      <w:r w:rsidRPr="000A7297">
        <w:rPr>
          <w:sz w:val="28"/>
          <w:szCs w:val="28"/>
          <w:u w:val="single"/>
          <w:rtl/>
          <w:lang w:bidi="ar-QA"/>
        </w:rPr>
        <w:t>وتطلب</w:t>
      </w:r>
      <w:r w:rsidRPr="000A7297">
        <w:rPr>
          <w:sz w:val="28"/>
          <w:szCs w:val="28"/>
          <w:rtl/>
          <w:lang w:bidi="ar-QA"/>
        </w:rPr>
        <w:t xml:space="preserve"> من المدير العام عرض هذا التقرير على المؤتمر العام لليونسكو وفقاً للفقرة 2 من المادة 30 من الاتفاقية.</w:t>
      </w:r>
    </w:p>
    <w:p w:rsidR="00536EB8" w:rsidRPr="000A7297" w:rsidRDefault="00536EB8" w:rsidP="00C22561">
      <w:pPr>
        <w:pageBreakBefore/>
        <w:jc w:val="center"/>
        <w:rPr>
          <w:rFonts w:ascii="Arial" w:eastAsia="Times New Roman" w:hAnsi="Arial" w:cs="Arial"/>
          <w:sz w:val="28"/>
          <w:szCs w:val="28"/>
          <w:lang w:val="en-GB"/>
        </w:rPr>
      </w:pPr>
      <w:r w:rsidRPr="000A7297">
        <w:rPr>
          <w:rFonts w:ascii="Arial" w:hAnsi="Arial" w:cs="Arial"/>
          <w:bCs/>
          <w:sz w:val="28"/>
          <w:szCs w:val="28"/>
          <w:u w:val="single"/>
          <w:rtl/>
          <w:lang w:bidi="ar-QA"/>
        </w:rPr>
        <w:lastRenderedPageBreak/>
        <w:t>الملحق</w:t>
      </w:r>
    </w:p>
    <w:p w:rsidR="00536EB8" w:rsidRPr="000A7297" w:rsidRDefault="00536EB8" w:rsidP="00C22561">
      <w:pPr>
        <w:spacing w:after="360"/>
        <w:jc w:val="center"/>
        <w:rPr>
          <w:rFonts w:ascii="Arial" w:eastAsia="Times New Roman" w:hAnsi="Arial" w:cs="Arial"/>
          <w:sz w:val="28"/>
          <w:szCs w:val="28"/>
          <w:lang w:val="en-GB"/>
        </w:rPr>
      </w:pPr>
      <w:r w:rsidRPr="000A7297">
        <w:rPr>
          <w:rFonts w:ascii="Arial" w:hAnsi="Arial" w:cs="Arial"/>
          <w:bCs/>
          <w:sz w:val="28"/>
          <w:szCs w:val="28"/>
          <w:rtl/>
          <w:lang w:bidi="ar-QA"/>
        </w:rPr>
        <w:t>مشروع تقرير اللجنة إلى الجمعية العامة عن أنشطتها</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إنّ مهام اللجنة منصوص عليها في اتفاقية صون التراث الثقافي غير المادي لعام 2003، ولا سيما في المادة 7. ومن ثمّ، يتبع هذا التقرير ترتيب المهام الواردة في المادة 7 من الاتفاقية.</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جدّدت الجمعية العامة في عام 2016 نصف أعضاء اللجنة الأربعة والعشرين، من خلال انتخاب اثنتي عشرة دولة طرفاً كي تشغل هذا المنصب لمدة أربعة أعوام.</w:t>
      </w:r>
      <w:r w:rsidRPr="000A7297">
        <w:rPr>
          <w:rFonts w:eastAsia="Times New Roman" w:cs="Arial"/>
          <w:sz w:val="28"/>
          <w:szCs w:val="28"/>
          <w:lang w:val="en-GB"/>
        </w:rPr>
        <w:t xml:space="preserve"> </w:t>
      </w:r>
      <w:r w:rsidRPr="000A7297">
        <w:rPr>
          <w:rFonts w:cs="Arial"/>
          <w:sz w:val="28"/>
          <w:szCs w:val="28"/>
          <w:rtl/>
          <w:lang w:bidi="ar-QA"/>
        </w:rPr>
        <w:t>وتألفت اللجنة في الفترة الممتدّة من حزيران/يونيو 2016 إلى حزيران/يونيو 2018 من الأعضاء الأربعة والعشرين التالية أسماؤهم:</w:t>
      </w:r>
      <w:r w:rsidRPr="000A7297">
        <w:rPr>
          <w:rFonts w:eastAsia="Times New Roman" w:cs="Arial"/>
          <w:sz w:val="28"/>
          <w:szCs w:val="28"/>
          <w:lang w:val="en-GB"/>
        </w:rPr>
        <w:t xml:space="preserve"> </w:t>
      </w:r>
      <w:r w:rsidRPr="000A7297">
        <w:rPr>
          <w:rFonts w:cs="Arial"/>
          <w:sz w:val="28"/>
          <w:szCs w:val="28"/>
          <w:rtl/>
          <w:lang w:bidi="ar-QA"/>
        </w:rPr>
        <w:t>أفغانستان، الجزائر، أرمينيا، النمسا، بلغاريا، كولومبيا، الكونغو، كوت ديفوار، كوبا، قبرص، إثيوبيا، غواتيمالا، المجر، الهند، لبنان، موريشيوس، منغوليا، فلسطين، الفلبين، جمهورية كوريا، سانت لوسيا، السنغال، تركيا وزامبيا.</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واجتمعت اللجنة مرّتين خلال فترة التقرير:</w:t>
      </w:r>
      <w:r w:rsidRPr="000A7297">
        <w:rPr>
          <w:rFonts w:eastAsia="Times New Roman" w:cs="Arial"/>
          <w:sz w:val="28"/>
          <w:szCs w:val="28"/>
          <w:lang w:val="en-GB"/>
        </w:rPr>
        <w:t xml:space="preserve"> </w:t>
      </w:r>
      <w:r w:rsidRPr="000A7297">
        <w:rPr>
          <w:rFonts w:cs="Arial"/>
          <w:sz w:val="28"/>
          <w:szCs w:val="28"/>
          <w:rtl/>
          <w:lang w:bidi="ar-QA"/>
        </w:rPr>
        <w:t>إذ عقدت دورتها الحادية عشرة (</w:t>
      </w:r>
      <w:r w:rsidRPr="000A7297">
        <w:rPr>
          <w:rFonts w:eastAsia="Times New Roman" w:cs="Arial"/>
          <w:sz w:val="28"/>
          <w:szCs w:val="28"/>
          <w:lang w:val="en-GB" w:bidi="ar-QA"/>
        </w:rPr>
        <w:t>11.COM</w:t>
      </w:r>
      <w:r w:rsidRPr="000A7297">
        <w:rPr>
          <w:rFonts w:cs="Arial"/>
          <w:sz w:val="28"/>
          <w:szCs w:val="28"/>
          <w:rtl/>
          <w:lang w:bidi="ar-QA"/>
        </w:rPr>
        <w:t>) في الفترة الممتدّة من 28 تشرين الثاني/نوفمبر إلى 4 كانون الأول/ديسمبر 2016 بأديس أبابا في إثيوبيا وعقدت دورتها الثانية عشرة (</w:t>
      </w:r>
      <w:r w:rsidRPr="000A7297">
        <w:rPr>
          <w:rFonts w:eastAsia="Times New Roman" w:cs="Arial"/>
          <w:sz w:val="28"/>
          <w:szCs w:val="28"/>
          <w:lang w:val="en-GB" w:bidi="ar-QA"/>
        </w:rPr>
        <w:t>12.COM</w:t>
      </w:r>
      <w:r w:rsidRPr="000A7297">
        <w:rPr>
          <w:rFonts w:cs="Arial"/>
          <w:sz w:val="28"/>
          <w:szCs w:val="28"/>
          <w:rtl/>
          <w:lang w:bidi="ar-QA"/>
        </w:rPr>
        <w:t xml:space="preserve">) في الفترة الممتدّة من 4 إلى 9 كانون الأول/ديسمبر 2017 بجزيرة </w:t>
      </w:r>
      <w:proofErr w:type="spellStart"/>
      <w:r w:rsidRPr="000A7297">
        <w:rPr>
          <w:rFonts w:cs="Arial"/>
          <w:sz w:val="28"/>
          <w:szCs w:val="28"/>
          <w:rtl/>
          <w:lang w:bidi="ar-QA"/>
        </w:rPr>
        <w:t>ديجو</w:t>
      </w:r>
      <w:proofErr w:type="spellEnd"/>
      <w:r w:rsidRPr="000A7297">
        <w:rPr>
          <w:rFonts w:cs="Arial"/>
          <w:sz w:val="28"/>
          <w:szCs w:val="28"/>
          <w:rtl/>
          <w:lang w:bidi="ar-QA"/>
        </w:rPr>
        <w:t xml:space="preserve"> في جمهورية كوريا. </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وانتخبت اللجنة في دورتها العاشرة التي عُقدت في كانون الأول/ديسمبر 2015 في وينهوك بناميبيا أعضاء مكتب الدورة الحادية عشرة. إذ انتُخب السيد </w:t>
      </w:r>
      <w:proofErr w:type="spellStart"/>
      <w:r w:rsidRPr="000A7297">
        <w:rPr>
          <w:rFonts w:cs="Arial"/>
          <w:sz w:val="28"/>
          <w:szCs w:val="28"/>
          <w:rtl/>
          <w:lang w:bidi="ar-QA"/>
        </w:rPr>
        <w:t>يوناس</w:t>
      </w:r>
      <w:proofErr w:type="spellEnd"/>
      <w:r w:rsidRPr="000A7297">
        <w:rPr>
          <w:rFonts w:cs="Arial"/>
          <w:sz w:val="28"/>
          <w:szCs w:val="28"/>
          <w:rtl/>
          <w:lang w:bidi="ar-QA"/>
        </w:rPr>
        <w:t xml:space="preserve"> ديستا </w:t>
      </w:r>
      <w:proofErr w:type="spellStart"/>
      <w:r w:rsidRPr="000A7297">
        <w:rPr>
          <w:rFonts w:cs="Arial"/>
          <w:sz w:val="28"/>
          <w:szCs w:val="28"/>
          <w:rtl/>
          <w:lang w:bidi="ar-QA"/>
        </w:rPr>
        <w:t>تسيغاي</w:t>
      </w:r>
      <w:proofErr w:type="spellEnd"/>
      <w:r w:rsidRPr="000A7297">
        <w:rPr>
          <w:rFonts w:cs="Arial"/>
          <w:sz w:val="28"/>
          <w:szCs w:val="28"/>
          <w:rtl/>
          <w:lang w:bidi="ar-QA"/>
        </w:rPr>
        <w:t xml:space="preserve"> (إثيوبيا) رئيساً؛ وانتُخب نوابه من تركيا وبلغاريا وسانت لوسيا وجمهورية كوريا والجزائر؛ كما انتخب السيد مراد </w:t>
      </w:r>
      <w:proofErr w:type="spellStart"/>
      <w:r w:rsidRPr="000A7297">
        <w:rPr>
          <w:rFonts w:cs="Arial"/>
          <w:sz w:val="28"/>
          <w:szCs w:val="28"/>
          <w:rtl/>
          <w:lang w:bidi="ar-QA"/>
        </w:rPr>
        <w:t>سوغانغوز</w:t>
      </w:r>
      <w:proofErr w:type="spellEnd"/>
      <w:r w:rsidRPr="000A7297">
        <w:rPr>
          <w:rFonts w:cs="Arial"/>
          <w:sz w:val="28"/>
          <w:szCs w:val="28"/>
          <w:rtl/>
          <w:lang w:bidi="ar-QA"/>
        </w:rPr>
        <w:t xml:space="preserve"> (تركيا) مقرراً.</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وانتخبت اللجنة في دورتها الحادية عشرة التي عُقدت في كانون الأول/ديسمبر 2015 في أديس أبابا بإثيوبيا أعضاء مكتب الدورة الثانية عشرة. إذ انتُخب سعادة السيد بيونغ-</w:t>
      </w:r>
      <w:proofErr w:type="spellStart"/>
      <w:r w:rsidRPr="000A7297">
        <w:rPr>
          <w:rFonts w:cs="Arial"/>
          <w:sz w:val="28"/>
          <w:szCs w:val="28"/>
          <w:rtl/>
          <w:lang w:bidi="ar-QA"/>
        </w:rPr>
        <w:t>هيون</w:t>
      </w:r>
      <w:proofErr w:type="spellEnd"/>
      <w:r w:rsidRPr="000A7297">
        <w:rPr>
          <w:rFonts w:cs="Arial"/>
          <w:sz w:val="28"/>
          <w:szCs w:val="28"/>
          <w:rtl/>
          <w:lang w:bidi="ar-QA"/>
        </w:rPr>
        <w:t xml:space="preserve"> لي (جمهورية كوريا) رئيساً؛ وانتُخب نوابه من تركيا وبلغاريا وكولومبيا وكوت ديفوار وفلسطين؛ كما انتخب السيد </w:t>
      </w:r>
      <w:proofErr w:type="spellStart"/>
      <w:r w:rsidRPr="000A7297">
        <w:rPr>
          <w:rFonts w:cs="Arial"/>
          <w:sz w:val="28"/>
          <w:szCs w:val="28"/>
          <w:rtl/>
          <w:lang w:bidi="ar-QA"/>
        </w:rPr>
        <w:t>غابور</w:t>
      </w:r>
      <w:proofErr w:type="spellEnd"/>
      <w:r w:rsidRPr="000A7297">
        <w:rPr>
          <w:rFonts w:cs="Arial"/>
          <w:sz w:val="28"/>
          <w:szCs w:val="28"/>
          <w:rtl/>
          <w:lang w:bidi="ar-QA"/>
        </w:rPr>
        <w:t xml:space="preserve"> </w:t>
      </w:r>
      <w:proofErr w:type="spellStart"/>
      <w:r w:rsidRPr="000A7297">
        <w:rPr>
          <w:rFonts w:cs="Arial"/>
          <w:sz w:val="28"/>
          <w:szCs w:val="28"/>
          <w:rtl/>
          <w:lang w:bidi="ar-QA"/>
        </w:rPr>
        <w:t>سووس</w:t>
      </w:r>
      <w:proofErr w:type="spellEnd"/>
      <w:r w:rsidRPr="000A7297">
        <w:rPr>
          <w:rFonts w:cs="Arial"/>
          <w:sz w:val="28"/>
          <w:szCs w:val="28"/>
          <w:rtl/>
          <w:lang w:bidi="ar-QA"/>
        </w:rPr>
        <w:t xml:space="preserve"> (المجر) مقرراً.</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وانتخبت اللجنة في دورتها الثانية عشرة التي عُقدت في كانون الأول/ديسمبر 2015 في جزيرة </w:t>
      </w:r>
      <w:proofErr w:type="spellStart"/>
      <w:r w:rsidRPr="000A7297">
        <w:rPr>
          <w:rFonts w:cs="Arial"/>
          <w:sz w:val="28"/>
          <w:szCs w:val="28"/>
          <w:rtl/>
          <w:lang w:bidi="ar-QA"/>
        </w:rPr>
        <w:t>جيجو</w:t>
      </w:r>
      <w:proofErr w:type="spellEnd"/>
      <w:r w:rsidRPr="000A7297">
        <w:rPr>
          <w:rFonts w:cs="Arial"/>
          <w:sz w:val="28"/>
          <w:szCs w:val="28"/>
          <w:rtl/>
          <w:lang w:bidi="ar-QA"/>
        </w:rPr>
        <w:t xml:space="preserve"> بجمهورية كوريا، أعضاء مكتب الدورة الثالثة عشرة. إذ انتُخب نواب الرئيس من قبرص وأرمينيا وغواتيمالا والفلبين ولبنان؛ كما انتخبت السيدة غابريال </w:t>
      </w:r>
      <w:proofErr w:type="spellStart"/>
      <w:r w:rsidRPr="000A7297">
        <w:rPr>
          <w:rFonts w:cs="Arial"/>
          <w:sz w:val="28"/>
          <w:szCs w:val="28"/>
          <w:rtl/>
          <w:lang w:bidi="ar-QA"/>
        </w:rPr>
        <w:t>ديتشمان</w:t>
      </w:r>
      <w:proofErr w:type="spellEnd"/>
      <w:r w:rsidRPr="000A7297">
        <w:rPr>
          <w:rFonts w:cs="Arial"/>
          <w:sz w:val="28"/>
          <w:szCs w:val="28"/>
          <w:rtl/>
          <w:lang w:bidi="ar-QA"/>
        </w:rPr>
        <w:t xml:space="preserve"> (النمسا) مقرراً. وقررت اللجنة بناء على طلب من موريشيوس تعليق جزء من القاعدة 13.1 وانتخاب رئيس اللجنة من خلال التشاور الإلكتروني بحلول 31 كانون الثاني/يناير 2018 على أقصى تقدير.</w:t>
      </w:r>
      <w:r w:rsidRPr="000A7297">
        <w:rPr>
          <w:rFonts w:eastAsia="Times New Roman" w:cs="Arial"/>
          <w:sz w:val="28"/>
          <w:szCs w:val="28"/>
          <w:lang w:val="en-GB"/>
        </w:rPr>
        <w:t xml:space="preserve"> </w:t>
      </w:r>
      <w:r w:rsidRPr="000A7297">
        <w:rPr>
          <w:rFonts w:cs="Arial"/>
          <w:sz w:val="28"/>
          <w:szCs w:val="28"/>
          <w:rtl/>
          <w:lang w:bidi="ar-QA"/>
        </w:rPr>
        <w:t xml:space="preserve">وانتخبت اللجنة من خلال هذه المشاورة الإلكترونية سعادة السيد </w:t>
      </w:r>
      <w:proofErr w:type="spellStart"/>
      <w:r w:rsidRPr="000A7297">
        <w:rPr>
          <w:rFonts w:cs="Arial"/>
          <w:sz w:val="28"/>
          <w:szCs w:val="28"/>
          <w:rtl/>
          <w:lang w:bidi="ar-QA"/>
        </w:rPr>
        <w:t>بريثفيراجسينغ</w:t>
      </w:r>
      <w:proofErr w:type="spellEnd"/>
      <w:r w:rsidRPr="000A7297">
        <w:rPr>
          <w:rFonts w:cs="Arial"/>
          <w:sz w:val="28"/>
          <w:szCs w:val="28"/>
          <w:rtl/>
          <w:lang w:bidi="ar-QA"/>
        </w:rPr>
        <w:t xml:space="preserve"> </w:t>
      </w:r>
      <w:proofErr w:type="spellStart"/>
      <w:r w:rsidRPr="000A7297">
        <w:rPr>
          <w:rFonts w:cs="Arial"/>
          <w:sz w:val="28"/>
          <w:szCs w:val="28"/>
          <w:rtl/>
          <w:lang w:bidi="ar-QA"/>
        </w:rPr>
        <w:t>روبون</w:t>
      </w:r>
      <w:proofErr w:type="spellEnd"/>
      <w:r w:rsidRPr="000A7297">
        <w:rPr>
          <w:rFonts w:cs="Arial"/>
          <w:sz w:val="28"/>
          <w:szCs w:val="28"/>
          <w:rtl/>
          <w:lang w:bidi="ar-QA"/>
        </w:rPr>
        <w:t xml:space="preserve"> (جمهورية موريشيوس) رئيساً لدورتها الثالثة عشرة.</w:t>
      </w:r>
    </w:p>
    <w:p w:rsidR="00536EB8" w:rsidRPr="000A7297" w:rsidRDefault="00536EB8" w:rsidP="00C22561">
      <w:pPr>
        <w:pStyle w:val="Marge"/>
        <w:numPr>
          <w:ilvl w:val="0"/>
          <w:numId w:val="14"/>
        </w:numPr>
        <w:spacing w:after="120"/>
        <w:ind w:left="567" w:hanging="567"/>
        <w:rPr>
          <w:rFonts w:eastAsia="Times New Roman" w:cs="Arial"/>
          <w:i/>
          <w:sz w:val="28"/>
          <w:szCs w:val="28"/>
          <w:lang w:val="en-GB"/>
        </w:rPr>
      </w:pPr>
      <w:r w:rsidRPr="000A7297">
        <w:rPr>
          <w:rFonts w:cs="Arial"/>
          <w:sz w:val="28"/>
          <w:szCs w:val="28"/>
          <w:rtl/>
          <w:lang w:bidi="ar-QA"/>
        </w:rPr>
        <w:t>واجتمع المكتب يومياً خلال دورات اللجنة</w:t>
      </w:r>
      <w:r w:rsidRPr="000A7297">
        <w:rPr>
          <w:rFonts w:cs="Arial"/>
          <w:sz w:val="28"/>
          <w:szCs w:val="28"/>
          <w:rtl/>
          <w:lang w:val="en-GB" w:bidi="ar-QA"/>
        </w:rPr>
        <w:t xml:space="preserve">. </w:t>
      </w:r>
      <w:r w:rsidRPr="000A7297">
        <w:rPr>
          <w:rFonts w:cs="Arial"/>
          <w:sz w:val="28"/>
          <w:szCs w:val="28"/>
          <w:rtl/>
          <w:lang w:bidi="ar-QA"/>
        </w:rPr>
        <w:t>كما اجتمع أربع مرات خلال فترة التقرير في مقر اليونسكو في 2 حزيران/يونيو 2016 (</w:t>
      </w:r>
      <w:r w:rsidRPr="000A7297">
        <w:rPr>
          <w:rFonts w:eastAsia="Times New Roman" w:cs="Arial"/>
          <w:sz w:val="28"/>
          <w:szCs w:val="28"/>
          <w:lang w:val="en-GB" w:bidi="ar-QA"/>
        </w:rPr>
        <w:t>11.COM 2.BUR</w:t>
      </w:r>
      <w:r w:rsidRPr="000A7297">
        <w:rPr>
          <w:rFonts w:cs="Arial"/>
          <w:sz w:val="28"/>
          <w:szCs w:val="28"/>
          <w:rtl/>
          <w:lang w:bidi="ar-QA"/>
        </w:rPr>
        <w:t>) و20 تشرين الأول/أكتوبر 2016 (</w:t>
      </w:r>
      <w:r w:rsidRPr="000A7297">
        <w:rPr>
          <w:rFonts w:eastAsia="Times New Roman" w:cs="Arial"/>
          <w:sz w:val="28"/>
          <w:szCs w:val="28"/>
          <w:lang w:val="en-GB" w:bidi="ar-QA"/>
        </w:rPr>
        <w:t>11.COM 3.BUR</w:t>
      </w:r>
      <w:r w:rsidRPr="000A7297">
        <w:rPr>
          <w:rFonts w:cs="Arial"/>
          <w:sz w:val="28"/>
          <w:szCs w:val="28"/>
          <w:rtl/>
          <w:lang w:bidi="ar-QA"/>
        </w:rPr>
        <w:t>) و24 أيار/مايو 2017 (</w:t>
      </w:r>
      <w:r w:rsidRPr="000A7297">
        <w:rPr>
          <w:rFonts w:eastAsia="Times New Roman" w:cs="Arial"/>
          <w:sz w:val="28"/>
          <w:szCs w:val="28"/>
          <w:lang w:val="en-GB" w:bidi="ar-QA"/>
        </w:rPr>
        <w:t>12.COM 2.BUR</w:t>
      </w:r>
      <w:r w:rsidRPr="000A7297">
        <w:rPr>
          <w:rFonts w:cs="Arial"/>
          <w:sz w:val="28"/>
          <w:szCs w:val="28"/>
          <w:rtl/>
          <w:lang w:bidi="ar-QA"/>
        </w:rPr>
        <w:t>) و3 تشرين الأول/أكتوبر 2016 (</w:t>
      </w:r>
      <w:r w:rsidRPr="000A7297">
        <w:rPr>
          <w:rFonts w:eastAsia="Times New Roman" w:cs="Arial"/>
          <w:sz w:val="28"/>
          <w:szCs w:val="28"/>
          <w:lang w:val="en-GB" w:bidi="ar-QA"/>
        </w:rPr>
        <w:t>12.COM 4.BUR</w:t>
      </w:r>
      <w:r w:rsidRPr="000A7297">
        <w:rPr>
          <w:rFonts w:cs="Arial"/>
          <w:sz w:val="28"/>
          <w:szCs w:val="28"/>
          <w:rtl/>
          <w:lang w:bidi="ar-QA"/>
        </w:rPr>
        <w:t>).</w:t>
      </w:r>
      <w:r w:rsidRPr="000A7297">
        <w:rPr>
          <w:rFonts w:eastAsia="Times New Roman" w:cs="Arial"/>
          <w:sz w:val="28"/>
          <w:szCs w:val="28"/>
          <w:lang w:val="en-GB"/>
        </w:rPr>
        <w:t xml:space="preserve"> </w:t>
      </w:r>
      <w:r w:rsidRPr="000A7297">
        <w:rPr>
          <w:rFonts w:cs="Arial"/>
          <w:sz w:val="28"/>
          <w:szCs w:val="28"/>
          <w:rtl/>
          <w:lang w:bidi="ar-QA"/>
        </w:rPr>
        <w:t>كما عقد المكتب مشاورات إلكترونية في نيسان/أبريل 2016 (</w:t>
      </w:r>
      <w:r w:rsidRPr="000A7297">
        <w:rPr>
          <w:rFonts w:eastAsia="Times New Roman" w:cs="Arial"/>
          <w:sz w:val="28"/>
          <w:szCs w:val="28"/>
          <w:lang w:val="en-GB" w:bidi="ar-QA"/>
        </w:rPr>
        <w:t>11.COM 1.BUR</w:t>
      </w:r>
      <w:r w:rsidRPr="000A7297">
        <w:rPr>
          <w:rFonts w:cs="Arial"/>
          <w:sz w:val="28"/>
          <w:szCs w:val="28"/>
          <w:rtl/>
          <w:lang w:bidi="ar-QA"/>
        </w:rPr>
        <w:t>) وحزيران/يونيو 2016 (</w:t>
      </w:r>
      <w:r w:rsidRPr="000A7297">
        <w:rPr>
          <w:rFonts w:eastAsia="Times New Roman" w:cs="Arial"/>
          <w:sz w:val="28"/>
          <w:szCs w:val="28"/>
          <w:lang w:val="en-GB" w:bidi="ar-QA"/>
        </w:rPr>
        <w:t>11.COM 2.BUR</w:t>
      </w:r>
      <w:r w:rsidRPr="000A7297">
        <w:rPr>
          <w:rFonts w:cs="Arial"/>
          <w:sz w:val="28"/>
          <w:szCs w:val="28"/>
          <w:rtl/>
          <w:lang w:bidi="ar-QA"/>
        </w:rPr>
        <w:t>) وخلال شهري شباط/فبراير وآذار/مارس 2017 (</w:t>
      </w:r>
      <w:r w:rsidRPr="000A7297">
        <w:rPr>
          <w:rFonts w:eastAsia="Times New Roman" w:cs="Arial"/>
          <w:sz w:val="28"/>
          <w:szCs w:val="28"/>
          <w:lang w:val="en-GB" w:bidi="ar-QA"/>
        </w:rPr>
        <w:t>12.COM 1.BUR</w:t>
      </w:r>
      <w:r w:rsidRPr="000A7297">
        <w:rPr>
          <w:rFonts w:cs="Arial"/>
          <w:sz w:val="28"/>
          <w:szCs w:val="28"/>
          <w:rtl/>
          <w:lang w:bidi="ar-QA"/>
        </w:rPr>
        <w:t xml:space="preserve">) وخلال شهري </w:t>
      </w:r>
      <w:proofErr w:type="spellStart"/>
      <w:r w:rsidRPr="000A7297">
        <w:rPr>
          <w:rFonts w:cs="Arial"/>
          <w:sz w:val="28"/>
          <w:szCs w:val="28"/>
          <w:rtl/>
          <w:lang w:bidi="ar-QA"/>
        </w:rPr>
        <w:t>آيار</w:t>
      </w:r>
      <w:proofErr w:type="spellEnd"/>
      <w:r w:rsidRPr="000A7297">
        <w:rPr>
          <w:rFonts w:cs="Arial"/>
          <w:sz w:val="28"/>
          <w:szCs w:val="28"/>
          <w:rtl/>
          <w:lang w:bidi="ar-QA"/>
        </w:rPr>
        <w:t>/مايو وحزيران/يونيو 2017 (</w:t>
      </w:r>
      <w:r w:rsidRPr="000A7297">
        <w:rPr>
          <w:rFonts w:eastAsia="Times New Roman" w:cs="Arial"/>
          <w:sz w:val="28"/>
          <w:szCs w:val="28"/>
          <w:lang w:val="en-GB" w:bidi="ar-QA"/>
        </w:rPr>
        <w:t>12.COM 2.BUR</w:t>
      </w:r>
      <w:r w:rsidRPr="000A7297">
        <w:rPr>
          <w:rFonts w:cs="Arial"/>
          <w:sz w:val="28"/>
          <w:szCs w:val="28"/>
          <w:rtl/>
          <w:lang w:bidi="ar-QA"/>
        </w:rPr>
        <w:t>) وخلال شهري آب/أغسطس وأيلول/سبتمبر 2017 (</w:t>
      </w:r>
      <w:r w:rsidRPr="000A7297">
        <w:rPr>
          <w:rFonts w:eastAsia="Times New Roman" w:cs="Arial"/>
          <w:sz w:val="28"/>
          <w:szCs w:val="28"/>
          <w:lang w:val="en-GB" w:bidi="ar-QA"/>
        </w:rPr>
        <w:t>12.COM 3.BUR</w:t>
      </w:r>
      <w:r w:rsidRPr="000A7297">
        <w:rPr>
          <w:rFonts w:cs="Arial"/>
          <w:sz w:val="28"/>
          <w:szCs w:val="28"/>
          <w:rtl/>
          <w:lang w:bidi="ar-QA"/>
        </w:rPr>
        <w:t xml:space="preserve">). </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ودرست اللجنة ومكتبها خلال فترة التقرير ما مجموعه 81 بنداً مدرجاً في جدولي أعمالهما بالإضافة إلى 78 وثيقة عمل أو وثيقة إعلامية و11 ترشيحاً إلى قائمة التراث الثقافي غير المادي الذي يحتاج إلى صون عاجل و71 ترشيحاً إلى القائمة التمثيلية للتراث الثقافي للبشرية و23 طلب مساعدة دولية و11 مقترحاً لسجل أفضل ممارسات الصون و55 تقريراً قدمتها الدول الأطراف و109 طلبات اعتماد أو تجديد اعتماد منظمات غير حكومية.</w:t>
      </w:r>
    </w:p>
    <w:p w:rsidR="00536EB8" w:rsidRPr="000A7297" w:rsidRDefault="00536EB8" w:rsidP="00C22561">
      <w:pPr>
        <w:numPr>
          <w:ilvl w:val="0"/>
          <w:numId w:val="15"/>
        </w:numPr>
        <w:tabs>
          <w:tab w:val="clear" w:pos="720"/>
        </w:tabs>
        <w:spacing w:before="360" w:after="240"/>
        <w:ind w:left="567" w:hanging="567"/>
        <w:rPr>
          <w:rFonts w:ascii="Arial" w:eastAsia="Times New Roman" w:hAnsi="Arial" w:cs="Arial"/>
          <w:b/>
          <w:sz w:val="28"/>
          <w:szCs w:val="28"/>
          <w:lang w:val="en-GB"/>
        </w:rPr>
      </w:pPr>
      <w:r w:rsidRPr="000A7297">
        <w:rPr>
          <w:rFonts w:ascii="Arial" w:hAnsi="Arial" w:cs="Arial"/>
          <w:bCs/>
          <w:sz w:val="28"/>
          <w:szCs w:val="28"/>
          <w:rtl/>
          <w:lang w:bidi="ar-QA"/>
        </w:rPr>
        <w:lastRenderedPageBreak/>
        <w:t>الترويج لأهداف الاتفاقية ودعم ورصد تنفيذها،</w:t>
      </w:r>
      <w:r w:rsidRPr="000A7297">
        <w:rPr>
          <w:rFonts w:ascii="Arial" w:hAnsi="Arial" w:cs="Arial"/>
          <w:sz w:val="28"/>
          <w:szCs w:val="28"/>
          <w:rtl/>
          <w:lang w:bidi="ar-QA"/>
        </w:rPr>
        <w:t xml:space="preserve"> </w:t>
      </w:r>
      <w:r w:rsidRPr="000A7297">
        <w:rPr>
          <w:rFonts w:ascii="Arial" w:hAnsi="Arial" w:cs="Arial"/>
          <w:bCs/>
          <w:sz w:val="28"/>
          <w:szCs w:val="28"/>
          <w:rtl/>
          <w:lang w:bidi="ar-QA"/>
        </w:rPr>
        <w:t>وتقديم</w:t>
      </w:r>
      <w:r w:rsidRPr="000A7297">
        <w:rPr>
          <w:rFonts w:ascii="Arial" w:hAnsi="Arial" w:cs="Arial"/>
          <w:sz w:val="28"/>
          <w:szCs w:val="28"/>
          <w:rtl/>
          <w:lang w:bidi="ar-QA"/>
        </w:rPr>
        <w:t xml:space="preserve"> </w:t>
      </w:r>
      <w:r w:rsidRPr="000A7297">
        <w:rPr>
          <w:rFonts w:ascii="Arial" w:hAnsi="Arial" w:cs="Arial"/>
          <w:bCs/>
          <w:sz w:val="28"/>
          <w:szCs w:val="28"/>
          <w:rtl/>
          <w:lang w:bidi="ar-QA"/>
        </w:rPr>
        <w:t>المشورة بشأن أفضل الممارسات والتوصيات بشأن تدابير الصون</w:t>
      </w:r>
      <w:r w:rsidRPr="000A7297">
        <w:rPr>
          <w:rFonts w:ascii="Arial" w:hAnsi="Arial" w:cs="Arial"/>
          <w:sz w:val="28"/>
          <w:szCs w:val="28"/>
          <w:rtl/>
          <w:lang w:bidi="ar-QA"/>
        </w:rPr>
        <w:t xml:space="preserve"> (المادة 7[أ]) و7[ب]) </w:t>
      </w:r>
    </w:p>
    <w:p w:rsidR="00536EB8" w:rsidRPr="000A7297" w:rsidRDefault="00536EB8" w:rsidP="000A7297">
      <w:pPr>
        <w:pStyle w:val="ListParagraph"/>
        <w:keepNext/>
        <w:numPr>
          <w:ilvl w:val="0"/>
          <w:numId w:val="16"/>
        </w:numPr>
        <w:tabs>
          <w:tab w:val="clear" w:pos="0"/>
        </w:tabs>
        <w:bidi/>
        <w:spacing w:before="240" w:after="120"/>
        <w:ind w:left="566" w:hanging="567"/>
        <w:rPr>
          <w:rFonts w:ascii="Arial" w:eastAsia="Times New Roman" w:hAnsi="Arial" w:cs="Arial"/>
          <w:bCs/>
          <w:sz w:val="28"/>
          <w:szCs w:val="28"/>
          <w:lang w:val="en-GB"/>
        </w:rPr>
      </w:pPr>
      <w:r w:rsidRPr="000A7297">
        <w:rPr>
          <w:rFonts w:ascii="Arial" w:hAnsi="Arial" w:cs="Arial"/>
          <w:bCs/>
          <w:sz w:val="28"/>
          <w:szCs w:val="28"/>
          <w:rtl/>
          <w:lang w:bidi="ar-QA"/>
        </w:rPr>
        <w:t>التصديق</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صدقت 11 دولة – الرأس الأخضر وجزر كوك وغانا وغينيا بيساو ومالطا وسانت كيتس ونيفس وجنوب السودان وسورينام وتايلند وتيمور- ليشتي وتوفالو– في الفترة الممتدّة من كانون الثاني/يناير إلى كانون الأول/ديسمبر 2017 على الاتفاقية. وأصبحت 175 دولة طرفاً في الاتفاقية مع نهاية عام 2017.</w:t>
      </w:r>
    </w:p>
    <w:p w:rsidR="00536EB8" w:rsidRPr="000A7297" w:rsidRDefault="00536EB8" w:rsidP="00C22561">
      <w:pPr>
        <w:pStyle w:val="ListParagraph"/>
        <w:keepNext/>
        <w:numPr>
          <w:ilvl w:val="0"/>
          <w:numId w:val="16"/>
        </w:numPr>
        <w:bidi/>
        <w:spacing w:before="240" w:after="120"/>
        <w:ind w:left="567" w:hanging="567"/>
        <w:rPr>
          <w:rFonts w:ascii="Arial" w:eastAsia="Times New Roman" w:hAnsi="Arial" w:cs="Arial"/>
          <w:bCs/>
          <w:sz w:val="28"/>
          <w:szCs w:val="28"/>
          <w:lang w:val="en-GB"/>
        </w:rPr>
      </w:pPr>
      <w:proofErr w:type="spellStart"/>
      <w:r w:rsidRPr="000A7297">
        <w:rPr>
          <w:rFonts w:ascii="Arial" w:hAnsi="Arial" w:cs="Arial"/>
          <w:bCs/>
          <w:sz w:val="28"/>
          <w:szCs w:val="28"/>
          <w:rtl/>
          <w:lang w:bidi="ar-QA"/>
        </w:rPr>
        <w:t>الحوكمة</w:t>
      </w:r>
      <w:proofErr w:type="spellEnd"/>
      <w:r w:rsidRPr="000A7297">
        <w:rPr>
          <w:rFonts w:ascii="Arial" w:hAnsi="Arial" w:cs="Arial"/>
          <w:bCs/>
          <w:sz w:val="28"/>
          <w:szCs w:val="28"/>
          <w:rtl/>
          <w:lang w:bidi="ar-QA"/>
        </w:rPr>
        <w:t xml:space="preserve"> السليمة الميسّرة بخدمات إدارة المعرفة المحسنة</w:t>
      </w:r>
    </w:p>
    <w:p w:rsidR="00536EB8" w:rsidRPr="000A7297" w:rsidRDefault="00536EB8" w:rsidP="00C22561">
      <w:pPr>
        <w:pStyle w:val="ListParagraph"/>
        <w:numPr>
          <w:ilvl w:val="0"/>
          <w:numId w:val="14"/>
        </w:numPr>
        <w:bidi/>
        <w:spacing w:after="120"/>
        <w:ind w:left="567" w:hanging="567"/>
        <w:jc w:val="both"/>
        <w:rPr>
          <w:rFonts w:ascii="Arial" w:eastAsia="Times New Roman" w:hAnsi="Arial" w:cs="Arial"/>
          <w:sz w:val="28"/>
          <w:szCs w:val="28"/>
          <w:lang w:val="en-GB"/>
        </w:rPr>
      </w:pPr>
      <w:r w:rsidRPr="000A7297">
        <w:rPr>
          <w:rFonts w:ascii="Arial" w:hAnsi="Arial" w:cs="Arial"/>
          <w:sz w:val="28"/>
          <w:szCs w:val="28"/>
          <w:rtl/>
          <w:lang w:bidi="ar-QA"/>
        </w:rPr>
        <w:t xml:space="preserve">لا تزال اللجنة ملتزمة </w:t>
      </w:r>
      <w:proofErr w:type="spellStart"/>
      <w:r w:rsidRPr="000A7297">
        <w:rPr>
          <w:rFonts w:ascii="Arial" w:hAnsi="Arial" w:cs="Arial"/>
          <w:sz w:val="28"/>
          <w:szCs w:val="28"/>
          <w:rtl/>
          <w:lang w:bidi="ar-QA"/>
        </w:rPr>
        <w:t>بالحوكمة</w:t>
      </w:r>
      <w:proofErr w:type="spellEnd"/>
      <w:r w:rsidRPr="000A7297">
        <w:rPr>
          <w:rFonts w:ascii="Arial" w:hAnsi="Arial" w:cs="Arial"/>
          <w:sz w:val="28"/>
          <w:szCs w:val="28"/>
          <w:rtl/>
          <w:lang w:bidi="ar-QA"/>
        </w:rPr>
        <w:t xml:space="preserve"> السليمة للاتفاقية وبالتحسينات الممكن إدخالها لتحقيق تلك الغاية.</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وتمشياً مع الجهود الشاملة الرامية لتحسين إدارة اليونسكو والصناديق والبرامج والكيانات التابعة لها واستجابة لدعوة المؤتمر العام (القرار 38 م/101)، درست اللجنة الحكومية الدولية في دورتيها الحادية عشرة والثانية عشرة بنداً يتعلّق بمتابعة توصيات تقرير المراجع الخارجي ذي الصلة الوارد في الوثيقة 38 م/23 من المؤتمر العام.</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 xml:space="preserve">ودرست اللجنة على وجه الخصوص التدابير التي تمّ اتخاذها بالفعل والإجراءات المتوقّعة لتحسين </w:t>
      </w:r>
      <w:proofErr w:type="spellStart"/>
      <w:r w:rsidRPr="000A7297">
        <w:rPr>
          <w:rFonts w:ascii="Arial" w:hAnsi="Arial" w:cs="Arial"/>
          <w:sz w:val="28"/>
          <w:szCs w:val="28"/>
          <w:rtl/>
          <w:lang w:bidi="ar-QA"/>
        </w:rPr>
        <w:t>حوكمة</w:t>
      </w:r>
      <w:proofErr w:type="spellEnd"/>
      <w:r w:rsidRPr="000A7297">
        <w:rPr>
          <w:rFonts w:ascii="Arial" w:hAnsi="Arial" w:cs="Arial"/>
          <w:sz w:val="28"/>
          <w:szCs w:val="28"/>
          <w:rtl/>
          <w:lang w:bidi="ar-QA"/>
        </w:rPr>
        <w:t xml:space="preserve"> الاتفاقية.</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 xml:space="preserve">وأحالت اللجنة وفقاً </w:t>
      </w:r>
      <w:hyperlink r:id="rId9" w:history="1">
        <w:r w:rsidRPr="000A7297">
          <w:rPr>
            <w:rStyle w:val="Hyperlink"/>
            <w:rFonts w:ascii="Arial" w:hAnsi="Arial" w:cs="Arial"/>
            <w:sz w:val="28"/>
            <w:szCs w:val="28"/>
            <w:rtl/>
          </w:rPr>
          <w:t xml:space="preserve">لقرارها </w:t>
        </w:r>
        <w:r w:rsidRPr="000A7297">
          <w:rPr>
            <w:rStyle w:val="Hyperlink"/>
            <w:rFonts w:ascii="Arial" w:eastAsia="Times New Roman" w:hAnsi="Arial" w:cs="Arial"/>
            <w:sz w:val="28"/>
            <w:szCs w:val="28"/>
            <w:lang w:val="en-GB" w:bidi="ar-QA"/>
          </w:rPr>
          <w:t>11.COM 7</w:t>
        </w:r>
      </w:hyperlink>
      <w:r w:rsidRPr="000A7297">
        <w:rPr>
          <w:rFonts w:ascii="Arial" w:hAnsi="Arial" w:cs="Arial"/>
          <w:sz w:val="28"/>
          <w:szCs w:val="28"/>
          <w:rtl/>
          <w:lang w:val="en-GB" w:bidi="ar-QA"/>
        </w:rPr>
        <w:t xml:space="preserve"> </w:t>
      </w:r>
      <w:r w:rsidRPr="000A7297">
        <w:rPr>
          <w:rFonts w:ascii="Arial" w:hAnsi="Arial" w:cs="Arial"/>
          <w:sz w:val="28"/>
          <w:szCs w:val="28"/>
          <w:rtl/>
          <w:lang w:bidi="ar-QA"/>
        </w:rPr>
        <w:t xml:space="preserve">إلى رئيس الفريق العامل المفتوح العضوية المعني </w:t>
      </w:r>
      <w:proofErr w:type="spellStart"/>
      <w:r w:rsidRPr="000A7297">
        <w:rPr>
          <w:rFonts w:ascii="Arial" w:hAnsi="Arial" w:cs="Arial"/>
          <w:sz w:val="28"/>
          <w:szCs w:val="28"/>
          <w:rtl/>
          <w:lang w:bidi="ar-QA"/>
        </w:rPr>
        <w:t>بالحوكمة</w:t>
      </w:r>
      <w:proofErr w:type="spellEnd"/>
      <w:r w:rsidRPr="000A7297">
        <w:rPr>
          <w:rFonts w:ascii="Arial" w:hAnsi="Arial" w:cs="Arial"/>
          <w:sz w:val="28"/>
          <w:szCs w:val="28"/>
          <w:rtl/>
          <w:lang w:bidi="ar-QA"/>
        </w:rPr>
        <w:t xml:space="preserve"> تقريراً عن حالة الإصلاحات المتوقعة أو الجارية والإجراءات التي تمّ اتخاذها بالفعل (الواردة في ملحقات الوثيقتين (</w:t>
      </w:r>
      <w:hyperlink r:id="rId10" w:history="1">
        <w:r w:rsidRPr="000A7297">
          <w:rPr>
            <w:rStyle w:val="Hyperlink"/>
            <w:rFonts w:ascii="Arial" w:eastAsia="Times New Roman" w:hAnsi="Arial" w:cs="Arial"/>
            <w:sz w:val="28"/>
            <w:szCs w:val="28"/>
            <w:lang w:val="en-GB" w:bidi="ar-QA"/>
          </w:rPr>
          <w:t>ITH/16/11.COM/7</w:t>
        </w:r>
      </w:hyperlink>
      <w:r w:rsidRPr="000A7297">
        <w:rPr>
          <w:rFonts w:ascii="Arial" w:hAnsi="Arial" w:cs="Arial"/>
          <w:sz w:val="28"/>
          <w:szCs w:val="28"/>
          <w:rtl/>
          <w:lang w:bidi="ar-QA"/>
        </w:rPr>
        <w:t xml:space="preserve"> و </w:t>
      </w:r>
      <w:hyperlink r:id="rId11" w:history="1">
        <w:r w:rsidRPr="000A7297">
          <w:rPr>
            <w:rStyle w:val="Hyperlink"/>
            <w:rFonts w:ascii="Arial" w:eastAsia="Times New Roman" w:hAnsi="Arial" w:cs="Arial"/>
            <w:sz w:val="28"/>
            <w:szCs w:val="28"/>
            <w:lang w:val="en-GB" w:bidi="ar-QA"/>
          </w:rPr>
          <w:t>ITH/16/11.COM/5</w:t>
        </w:r>
      </w:hyperlink>
      <w:r w:rsidRPr="000A7297">
        <w:rPr>
          <w:rFonts w:ascii="Arial" w:hAnsi="Arial" w:cs="Arial"/>
          <w:sz w:val="28"/>
          <w:szCs w:val="28"/>
          <w:rtl/>
          <w:lang w:bidi="ar-QA"/>
        </w:rPr>
        <w:t>).</w:t>
      </w:r>
    </w:p>
    <w:p w:rsidR="00536EB8" w:rsidRPr="000A7297" w:rsidRDefault="00536EB8" w:rsidP="00C22561">
      <w:pPr>
        <w:pStyle w:val="ListParagraph"/>
        <w:numPr>
          <w:ilvl w:val="0"/>
          <w:numId w:val="14"/>
        </w:numPr>
        <w:bidi/>
        <w:spacing w:after="120"/>
        <w:ind w:left="567" w:hanging="567"/>
        <w:jc w:val="both"/>
        <w:rPr>
          <w:rFonts w:ascii="Arial" w:eastAsia="Times New Roman" w:hAnsi="Arial" w:cs="Arial"/>
          <w:sz w:val="28"/>
          <w:szCs w:val="28"/>
          <w:lang w:val="en-GB"/>
        </w:rPr>
      </w:pPr>
      <w:r w:rsidRPr="000A7297">
        <w:rPr>
          <w:rFonts w:ascii="Arial" w:hAnsi="Arial" w:cs="Arial"/>
          <w:sz w:val="28"/>
          <w:szCs w:val="28"/>
          <w:rtl/>
          <w:lang w:bidi="ar-QA"/>
        </w:rPr>
        <w:t xml:space="preserve">يُعتبر نظام إدارة المعارف التابع للاتفاقية أداة لا غنى عنها لتيسير </w:t>
      </w:r>
      <w:proofErr w:type="spellStart"/>
      <w:r w:rsidRPr="000A7297">
        <w:rPr>
          <w:rFonts w:ascii="Arial" w:hAnsi="Arial" w:cs="Arial"/>
          <w:sz w:val="28"/>
          <w:szCs w:val="28"/>
          <w:rtl/>
          <w:lang w:bidi="ar-QA"/>
        </w:rPr>
        <w:t>الحوكمة</w:t>
      </w:r>
      <w:proofErr w:type="spellEnd"/>
      <w:r w:rsidRPr="000A7297">
        <w:rPr>
          <w:rFonts w:ascii="Arial" w:hAnsi="Arial" w:cs="Arial"/>
          <w:sz w:val="28"/>
          <w:szCs w:val="28"/>
          <w:rtl/>
          <w:lang w:bidi="ar-QA"/>
        </w:rPr>
        <w:t xml:space="preserve"> السليمة والمحسّنة للاتفاقية.</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ويوفر مستودعاً فريداً من المعلومات يمكن لجميع الأطراف المهتمة الوصول إليه فضلاً عن أداة عمل أساسية لهيئاتها الرئاسية والاستشارية وأمانتها. غير أنّ نظام إدارة المع</w:t>
      </w:r>
      <w:r w:rsidR="0031700D" w:rsidRPr="000A7297">
        <w:rPr>
          <w:rFonts w:ascii="Arial" w:hAnsi="Arial" w:cs="Arial"/>
          <w:sz w:val="28"/>
          <w:szCs w:val="28"/>
          <w:rtl/>
          <w:lang w:bidi="ar-QA"/>
        </w:rPr>
        <w:t>ارف</w:t>
      </w:r>
      <w:r w:rsidRPr="000A7297">
        <w:rPr>
          <w:rFonts w:ascii="Arial" w:hAnsi="Arial" w:cs="Arial"/>
          <w:sz w:val="28"/>
          <w:szCs w:val="28"/>
          <w:rtl/>
          <w:lang w:bidi="ar-QA"/>
        </w:rPr>
        <w:t xml:space="preserve"> بحاجة إلى تحسين مطرد ليتكيّف مع واقع الاتفاقية المتغير باستمرار وليلبيّ الاحتياجات المتطورة لطَيْف واسع من أصحاب المصلحة.</w:t>
      </w:r>
    </w:p>
    <w:p w:rsidR="00536EB8" w:rsidRPr="000A7297" w:rsidRDefault="00536EB8" w:rsidP="00C22561">
      <w:pPr>
        <w:pStyle w:val="ListParagraph"/>
        <w:numPr>
          <w:ilvl w:val="0"/>
          <w:numId w:val="14"/>
        </w:numPr>
        <w:bidi/>
        <w:spacing w:after="120"/>
        <w:ind w:left="567" w:hanging="567"/>
        <w:jc w:val="both"/>
        <w:rPr>
          <w:rFonts w:ascii="Arial" w:eastAsia="Times New Roman" w:hAnsi="Arial" w:cs="Arial"/>
          <w:sz w:val="28"/>
          <w:szCs w:val="28"/>
          <w:lang w:val="en-GB"/>
        </w:rPr>
      </w:pPr>
      <w:r w:rsidRPr="000A7297">
        <w:rPr>
          <w:rFonts w:ascii="Arial" w:hAnsi="Arial" w:cs="Arial"/>
          <w:sz w:val="28"/>
          <w:szCs w:val="28"/>
          <w:rtl/>
          <w:lang w:bidi="ar-QA"/>
        </w:rPr>
        <w:t xml:space="preserve">وافقت الجمعية العامة في قرارها </w:t>
      </w:r>
      <w:r w:rsidRPr="000A7297">
        <w:rPr>
          <w:rFonts w:ascii="Arial" w:eastAsia="Times New Roman" w:hAnsi="Arial" w:cs="Arial"/>
          <w:sz w:val="28"/>
          <w:szCs w:val="28"/>
          <w:lang w:val="en-GB" w:bidi="ar-QA"/>
        </w:rPr>
        <w:t>6.GA 9</w:t>
      </w:r>
      <w:r w:rsidRPr="000A7297">
        <w:rPr>
          <w:rFonts w:ascii="Arial" w:hAnsi="Arial" w:cs="Arial"/>
          <w:sz w:val="28"/>
          <w:szCs w:val="28"/>
          <w:rtl/>
          <w:lang w:bidi="ar-QA"/>
        </w:rPr>
        <w:t xml:space="preserve"> على خطة لاستخدام موارد صندوق التراث الثقافي غير المادي [المشار إليه فيما يلي بالصندوق] للفترة الممتدّة من 1 كانون الثاني/يناير 2016 حتى 31 كانون الأول/ديسمبر 2017 والتي خصصت 20 في المائة</w:t>
      </w:r>
      <w:r w:rsidR="00305265" w:rsidRPr="000A7297">
        <w:rPr>
          <w:rFonts w:ascii="Arial" w:hAnsi="Arial" w:cs="Arial"/>
          <w:sz w:val="28"/>
          <w:szCs w:val="28"/>
          <w:rtl/>
          <w:lang w:bidi="ar-QA"/>
        </w:rPr>
        <w:t xml:space="preserve"> من</w:t>
      </w:r>
      <w:r w:rsidRPr="000A7297">
        <w:rPr>
          <w:rFonts w:ascii="Arial" w:hAnsi="Arial" w:cs="Arial"/>
          <w:sz w:val="28"/>
          <w:szCs w:val="28"/>
          <w:rtl/>
          <w:lang w:bidi="ar-QA"/>
        </w:rPr>
        <w:t xml:space="preserve"> الميزانية (1590746 دولاراً أمريكياً) إلى بند "المهام الأخرى للجنة". وفوضت اللجنة بموجب </w:t>
      </w:r>
      <w:hyperlink r:id="rId12" w:history="1">
        <w:r w:rsidRPr="000A7297">
          <w:rPr>
            <w:rStyle w:val="Hyperlink"/>
            <w:rFonts w:ascii="Arial" w:hAnsi="Arial" w:cs="Arial"/>
            <w:sz w:val="28"/>
            <w:szCs w:val="28"/>
            <w:rtl/>
          </w:rPr>
          <w:t xml:space="preserve">قرارها </w:t>
        </w:r>
        <w:r w:rsidRPr="000A7297">
          <w:rPr>
            <w:rStyle w:val="Hyperlink"/>
            <w:rFonts w:ascii="Arial" w:eastAsia="Times New Roman" w:hAnsi="Arial" w:cs="Arial"/>
            <w:sz w:val="28"/>
            <w:szCs w:val="28"/>
            <w:lang w:val="en-GB" w:bidi="ar-QA"/>
          </w:rPr>
          <w:t>10.COM 8</w:t>
        </w:r>
      </w:hyperlink>
      <w:r w:rsidRPr="000A7297">
        <w:rPr>
          <w:rFonts w:ascii="Arial" w:hAnsi="Arial" w:cs="Arial"/>
          <w:sz w:val="28"/>
          <w:szCs w:val="28"/>
          <w:rtl/>
          <w:lang w:bidi="ar-QA"/>
        </w:rPr>
        <w:t xml:space="preserve"> إلى مكتبها سلطة اتخاذ القرار بشأن كيفية استخدام الأموال المخصصة لهذا البند من الخطّة بناء على مقترحات محددة تعدّها الأمانة.</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 xml:space="preserve">وإدراكاً منه لأهمية نظام إدارة المعرفة، وافق المكتب على تخصيص مبلغ قدره 900 386 دولار أمريكي للفترة الممتدّة من كانون الثاني/يناير 2016 إلى كانون الأول/ديسمبر </w:t>
      </w:r>
      <w:r w:rsidRPr="000A7297">
        <w:rPr>
          <w:rStyle w:val="FootnoteReference"/>
          <w:rFonts w:ascii="Arial" w:hAnsi="Arial" w:cs="Arial"/>
          <w:sz w:val="28"/>
          <w:szCs w:val="28"/>
          <w:rtl/>
          <w:lang w:bidi="ar-QA"/>
        </w:rPr>
        <w:footnoteReference w:id="1"/>
      </w:r>
      <w:r w:rsidRPr="000A7297">
        <w:rPr>
          <w:rFonts w:ascii="Arial" w:hAnsi="Arial" w:cs="Arial"/>
          <w:sz w:val="28"/>
          <w:szCs w:val="28"/>
          <w:rtl/>
          <w:lang w:bidi="ar-QA"/>
        </w:rPr>
        <w:t>2017 للأنشطة الرامية إلى تحسين إمكانية الوصول إلى النظام واستخدامه ووظائفه.</w:t>
      </w:r>
      <w:r w:rsidRPr="000A7297">
        <w:rPr>
          <w:rFonts w:ascii="Arial" w:eastAsia="Times New Roman" w:hAnsi="Arial" w:cs="Arial"/>
          <w:sz w:val="28"/>
          <w:szCs w:val="28"/>
          <w:lang w:val="en-GB"/>
        </w:rPr>
        <w:t xml:space="preserve"> </w:t>
      </w:r>
      <w:r w:rsidRPr="000A7297">
        <w:rPr>
          <w:rFonts w:ascii="Arial" w:hAnsi="Arial" w:cs="Arial"/>
          <w:sz w:val="28"/>
          <w:szCs w:val="28"/>
          <w:rtl/>
          <w:lang w:bidi="ar-QA"/>
        </w:rPr>
        <w:t>وترد معلومات مفصلة عن نتائج هذه الأنشطة في تقرير الأمانة إلى اللجنة (</w:t>
      </w:r>
      <w:r w:rsidRPr="00070763">
        <w:rPr>
          <w:rFonts w:ascii="Arial" w:hAnsi="Arial" w:cs="Arial"/>
          <w:sz w:val="28"/>
          <w:szCs w:val="28"/>
          <w:rtl/>
          <w:lang w:bidi="ar-QA"/>
        </w:rPr>
        <w:t xml:space="preserve">الوثيقة </w:t>
      </w:r>
      <w:hyperlink r:id="rId13" w:history="1">
        <w:r w:rsidRPr="00070763">
          <w:rPr>
            <w:rStyle w:val="Hyperlink"/>
            <w:rFonts w:ascii="Arial" w:eastAsia="Times New Roman" w:hAnsi="Arial" w:cs="Arial"/>
            <w:sz w:val="28"/>
            <w:szCs w:val="28"/>
            <w:lang w:val="en-GB" w:bidi="ar-QA"/>
          </w:rPr>
          <w:t>ITH/18/7.GA/7</w:t>
        </w:r>
      </w:hyperlink>
      <w:r w:rsidRPr="00070763">
        <w:rPr>
          <w:rFonts w:ascii="Arial" w:hAnsi="Arial" w:cs="Arial"/>
          <w:sz w:val="28"/>
          <w:szCs w:val="28"/>
          <w:rtl/>
          <w:lang w:bidi="ar-QA"/>
        </w:rPr>
        <w:t>)</w:t>
      </w:r>
      <w:r w:rsidRPr="000A7297">
        <w:rPr>
          <w:rFonts w:ascii="Arial" w:hAnsi="Arial" w:cs="Arial"/>
          <w:sz w:val="28"/>
          <w:szCs w:val="28"/>
          <w:rtl/>
          <w:lang w:bidi="ar-QA"/>
        </w:rPr>
        <w:t>.</w:t>
      </w:r>
    </w:p>
    <w:p w:rsidR="00536EB8" w:rsidRPr="000A7297" w:rsidRDefault="00536EB8" w:rsidP="00C22561">
      <w:pPr>
        <w:pStyle w:val="ListParagraph"/>
        <w:keepNext/>
        <w:numPr>
          <w:ilvl w:val="0"/>
          <w:numId w:val="16"/>
        </w:numPr>
        <w:bidi/>
        <w:spacing w:before="240" w:after="120"/>
        <w:ind w:left="567" w:hanging="567"/>
        <w:rPr>
          <w:rFonts w:ascii="Arial" w:eastAsia="Times New Roman" w:hAnsi="Arial" w:cs="Arial"/>
          <w:bCs/>
          <w:sz w:val="28"/>
          <w:szCs w:val="28"/>
          <w:lang w:val="en-GB"/>
        </w:rPr>
      </w:pPr>
      <w:r w:rsidRPr="000A7297">
        <w:rPr>
          <w:rFonts w:ascii="Arial" w:hAnsi="Arial" w:cs="Arial"/>
          <w:bCs/>
          <w:sz w:val="28"/>
          <w:szCs w:val="28"/>
          <w:rtl/>
          <w:lang w:bidi="ar-QA"/>
        </w:rPr>
        <w:t>تعزيز برنامج بناء القدرات والمشورة بشأن أفضل الممارسات والتوصيات بشأن تدابير الصون</w:t>
      </w:r>
    </w:p>
    <w:p w:rsidR="00536EB8" w:rsidRPr="000A7297" w:rsidRDefault="00536EB8" w:rsidP="00C22561">
      <w:pPr>
        <w:pStyle w:val="Marge"/>
        <w:numPr>
          <w:ilvl w:val="0"/>
          <w:numId w:val="14"/>
        </w:numPr>
        <w:tabs>
          <w:tab w:val="clear" w:pos="928"/>
        </w:tabs>
        <w:spacing w:after="120"/>
        <w:ind w:left="567" w:hanging="567"/>
        <w:rPr>
          <w:rStyle w:val="hps"/>
          <w:rFonts w:eastAsia="Times New Roman" w:cs="Arial"/>
          <w:sz w:val="28"/>
          <w:szCs w:val="28"/>
          <w:lang w:val="en-US"/>
        </w:rPr>
      </w:pPr>
      <w:r w:rsidRPr="000A7297">
        <w:rPr>
          <w:rFonts w:cs="Arial"/>
          <w:sz w:val="28"/>
          <w:szCs w:val="28"/>
          <w:rtl/>
          <w:lang w:bidi="ar-QA"/>
        </w:rPr>
        <w:t>تواصل اللجنة إعطاء الأولوية لبناء القدرات باعتبار أنّ التنفيذ الفعال يقوم على معرفة وفهم دقيقين للاتفاقية ومفاهيمها وتدابيرها وآلياتها.</w:t>
      </w:r>
      <w:r w:rsidRPr="000A7297">
        <w:rPr>
          <w:rFonts w:eastAsia="Times New Roman" w:cs="Arial"/>
          <w:sz w:val="28"/>
          <w:szCs w:val="28"/>
          <w:lang w:val="en-US"/>
        </w:rPr>
        <w:t xml:space="preserve"> </w:t>
      </w:r>
      <w:r w:rsidRPr="000A7297">
        <w:rPr>
          <w:rFonts w:cs="Arial"/>
          <w:sz w:val="28"/>
          <w:szCs w:val="28"/>
          <w:rtl/>
          <w:lang w:bidi="ar-QA"/>
        </w:rPr>
        <w:t>ولذا خصص مكتب اللجنة ما مجموعه 346 817 دولاراً أمريكياً، أو 51 في المائة من بند "مهام اللجنة الأخرى" للفترة الممتدّة من كانون الثاني/يناير 2016 إلى كانون الأول/ديسمبر 2017. وكانت الأنشطة المقترحة تحت هذا البند تهدف إلى دعم عدد من الحاجيات المستعرضة، وخاصة:</w:t>
      </w:r>
      <w:r w:rsidRPr="000A7297">
        <w:rPr>
          <w:rFonts w:eastAsia="Times New Roman" w:cs="Arial"/>
          <w:sz w:val="28"/>
          <w:szCs w:val="28"/>
          <w:lang w:val="en-US"/>
        </w:rPr>
        <w:t xml:space="preserve"> </w:t>
      </w:r>
      <w:r w:rsidRPr="000A7297">
        <w:rPr>
          <w:rFonts w:cs="Arial"/>
          <w:sz w:val="28"/>
          <w:szCs w:val="28"/>
          <w:rtl/>
          <w:lang w:bidi="ar-QA"/>
        </w:rPr>
        <w:t>(</w:t>
      </w:r>
      <w:proofErr w:type="spellStart"/>
      <w:r w:rsidRPr="000A7297">
        <w:rPr>
          <w:rFonts w:eastAsia="Times New Roman" w:cs="Arial"/>
          <w:sz w:val="28"/>
          <w:szCs w:val="28"/>
          <w:lang w:val="en-GB" w:bidi="ar-QA"/>
        </w:rPr>
        <w:t>i</w:t>
      </w:r>
      <w:proofErr w:type="spellEnd"/>
      <w:r w:rsidRPr="000A7297">
        <w:rPr>
          <w:rFonts w:cs="Arial"/>
          <w:sz w:val="28"/>
          <w:szCs w:val="28"/>
          <w:rtl/>
          <w:lang w:bidi="ar-QA"/>
        </w:rPr>
        <w:t>) تعزيز شبكة الميسرين الخبراء؛ (</w:t>
      </w:r>
      <w:r w:rsidRPr="000A7297">
        <w:rPr>
          <w:rFonts w:eastAsia="Times New Roman" w:cs="Arial"/>
          <w:sz w:val="28"/>
          <w:szCs w:val="28"/>
          <w:lang w:val="en-GB" w:bidi="ar-QA"/>
        </w:rPr>
        <w:t>ii</w:t>
      </w:r>
      <w:r w:rsidR="00305265" w:rsidRPr="000A7297">
        <w:rPr>
          <w:rFonts w:cs="Arial"/>
          <w:sz w:val="28"/>
          <w:szCs w:val="28"/>
          <w:rtl/>
          <w:lang w:bidi="ar-QA"/>
        </w:rPr>
        <w:t>) تطوير محتوى</w:t>
      </w:r>
      <w:r w:rsidRPr="000A7297">
        <w:rPr>
          <w:rFonts w:cs="Arial"/>
          <w:sz w:val="28"/>
          <w:szCs w:val="28"/>
          <w:rtl/>
          <w:lang w:bidi="ar-QA"/>
        </w:rPr>
        <w:t xml:space="preserve"> وأنساق ومواد مناسبة في يتعلّق على سبيل المثال بالسياسات والتنمية المستدامة والجنسانية؛ (</w:t>
      </w:r>
      <w:r w:rsidRPr="000A7297">
        <w:rPr>
          <w:rFonts w:eastAsia="Times New Roman" w:cs="Arial"/>
          <w:sz w:val="28"/>
          <w:szCs w:val="28"/>
          <w:lang w:val="en-GB" w:bidi="ar-QA"/>
        </w:rPr>
        <w:t>iii</w:t>
      </w:r>
      <w:r w:rsidRPr="000A7297">
        <w:rPr>
          <w:rFonts w:cs="Arial"/>
          <w:sz w:val="28"/>
          <w:szCs w:val="28"/>
          <w:rtl/>
          <w:lang w:bidi="ar-QA"/>
        </w:rPr>
        <w:t xml:space="preserve">) متابعة وتقييم تكييف الاستراتيجية؛ </w:t>
      </w:r>
      <w:r w:rsidRPr="000A7297">
        <w:rPr>
          <w:rFonts w:cs="Arial"/>
          <w:sz w:val="28"/>
          <w:szCs w:val="28"/>
          <w:rtl/>
          <w:lang w:bidi="ar-QA"/>
        </w:rPr>
        <w:lastRenderedPageBreak/>
        <w:t>(</w:t>
      </w:r>
      <w:r w:rsidRPr="000A7297">
        <w:rPr>
          <w:rFonts w:eastAsia="Times New Roman" w:cs="Arial"/>
          <w:sz w:val="28"/>
          <w:szCs w:val="28"/>
          <w:lang w:val="en-GB" w:bidi="ar-QA"/>
        </w:rPr>
        <w:t>iv</w:t>
      </w:r>
      <w:r w:rsidRPr="000A7297">
        <w:rPr>
          <w:rFonts w:cs="Arial"/>
          <w:sz w:val="28"/>
          <w:szCs w:val="28"/>
          <w:rtl/>
          <w:lang w:bidi="ar-QA"/>
        </w:rPr>
        <w:t>) تطوير طرق بديلة وأقلّ كلفة لتقاسم التجارب في مجال الصون بدل الاعتماد حصرياً على سجل أفضل ممارسات الصون؛ و</w:t>
      </w:r>
      <w:r w:rsidRPr="000A7297">
        <w:rPr>
          <w:rFonts w:eastAsia="Times New Roman" w:cs="Arial"/>
          <w:sz w:val="28"/>
          <w:szCs w:val="28"/>
          <w:lang w:val="en-GB" w:bidi="ar-QA"/>
        </w:rPr>
        <w:t>(v)</w:t>
      </w:r>
      <w:r w:rsidRPr="000A7297">
        <w:rPr>
          <w:rFonts w:cs="Arial"/>
          <w:sz w:val="28"/>
          <w:szCs w:val="28"/>
          <w:rtl/>
          <w:lang w:bidi="ar-QA"/>
        </w:rPr>
        <w:t xml:space="preserve"> وضع مبادئ توجيهية بشأن قوائم الجرد.</w:t>
      </w:r>
    </w:p>
    <w:p w:rsidR="00536EB8" w:rsidRPr="000A7297" w:rsidRDefault="00536EB8" w:rsidP="00070763">
      <w:pPr>
        <w:pStyle w:val="Marge"/>
        <w:numPr>
          <w:ilvl w:val="0"/>
          <w:numId w:val="14"/>
        </w:numPr>
        <w:tabs>
          <w:tab w:val="clear" w:pos="928"/>
        </w:tabs>
        <w:spacing w:after="120"/>
        <w:ind w:left="567" w:hanging="567"/>
        <w:rPr>
          <w:rFonts w:eastAsia="Times New Roman" w:cs="Arial"/>
          <w:sz w:val="28"/>
          <w:szCs w:val="28"/>
          <w:lang w:val="en-US"/>
        </w:rPr>
      </w:pPr>
      <w:r w:rsidRPr="000A7297">
        <w:rPr>
          <w:rFonts w:cs="Arial"/>
          <w:sz w:val="28"/>
          <w:szCs w:val="28"/>
          <w:rtl/>
          <w:lang w:bidi="ar-QA"/>
        </w:rPr>
        <w:t xml:space="preserve">تلعب الأموال المخصصة "لمهام اللجنة الأخرى" دوراً أساسياً في تطوير الوظائف الشاملة والحفاظ عليها من أجل التنفيذ الفعال للبرنامج، في حين أصبح التنفيذ الفعلي على المستوى الوطني ممكناً بفضل المساهمات المرصودة لصندوق الموروث الثقافي غير المادي وترتيبات الصندوق الائتماني. وترد معلومات مفصّلة عن نتائج الأنشطة التي وافق عليها المكتب بشأن هذه المسائل في تقرير الأمانة إلى اللجنة (الوثيقة </w:t>
      </w:r>
      <w:hyperlink r:id="rId14" w:history="1">
        <w:r w:rsidRPr="00070763">
          <w:rPr>
            <w:rStyle w:val="Hyperlink"/>
            <w:rFonts w:eastAsia="Times New Roman" w:cs="Arial"/>
            <w:sz w:val="28"/>
            <w:szCs w:val="28"/>
            <w:lang w:val="en-US" w:bidi="ar-QA"/>
          </w:rPr>
          <w:t>ITH/18/7.GA/7</w:t>
        </w:r>
      </w:hyperlink>
      <w:r w:rsidRPr="000A7297">
        <w:rPr>
          <w:rFonts w:cs="Arial"/>
          <w:sz w:val="28"/>
          <w:szCs w:val="28"/>
          <w:rtl/>
          <w:lang w:bidi="ar-QA"/>
        </w:rPr>
        <w:t xml:space="preserve">) الذي يدرس أيضاً الحالة المتعلقة بتنفيذ </w:t>
      </w:r>
      <w:proofErr w:type="spellStart"/>
      <w:r w:rsidRPr="000A7297">
        <w:rPr>
          <w:rFonts w:cs="Arial"/>
          <w:sz w:val="28"/>
          <w:szCs w:val="28"/>
          <w:rtl/>
          <w:lang w:bidi="ar-QA"/>
        </w:rPr>
        <w:t>ﺑﺮاﻣﺞ</w:t>
      </w:r>
      <w:proofErr w:type="spellEnd"/>
      <w:r w:rsidRPr="000A7297">
        <w:rPr>
          <w:rFonts w:cs="Arial"/>
          <w:sz w:val="28"/>
          <w:szCs w:val="28"/>
          <w:rtl/>
          <w:lang w:bidi="ar-QA"/>
        </w:rPr>
        <w:t xml:space="preserve"> </w:t>
      </w:r>
      <w:proofErr w:type="spellStart"/>
      <w:r w:rsidRPr="000A7297">
        <w:rPr>
          <w:rFonts w:cs="Arial"/>
          <w:sz w:val="28"/>
          <w:szCs w:val="28"/>
          <w:rtl/>
          <w:lang w:bidi="ar-QA"/>
        </w:rPr>
        <w:t>ﺑﻨﺎء</w:t>
      </w:r>
      <w:proofErr w:type="spellEnd"/>
      <w:r w:rsidRPr="000A7297">
        <w:rPr>
          <w:rFonts w:cs="Arial"/>
          <w:sz w:val="28"/>
          <w:szCs w:val="28"/>
          <w:rtl/>
          <w:lang w:bidi="ar-QA"/>
        </w:rPr>
        <w:t xml:space="preserve"> </w:t>
      </w:r>
      <w:proofErr w:type="spellStart"/>
      <w:r w:rsidRPr="000A7297">
        <w:rPr>
          <w:rFonts w:cs="Arial"/>
          <w:sz w:val="28"/>
          <w:szCs w:val="28"/>
          <w:rtl/>
          <w:lang w:bidi="ar-QA"/>
        </w:rPr>
        <w:t>اﻟﻘﺪرات</w:t>
      </w:r>
      <w:proofErr w:type="spellEnd"/>
      <w:r w:rsidRPr="000A7297">
        <w:rPr>
          <w:rFonts w:cs="Arial"/>
          <w:sz w:val="28"/>
          <w:szCs w:val="28"/>
          <w:rtl/>
          <w:lang w:bidi="ar-QA"/>
        </w:rPr>
        <w:t xml:space="preserve"> </w:t>
      </w:r>
      <w:proofErr w:type="spellStart"/>
      <w:r w:rsidRPr="000A7297">
        <w:rPr>
          <w:rFonts w:cs="Arial"/>
          <w:sz w:val="28"/>
          <w:szCs w:val="28"/>
          <w:rtl/>
          <w:lang w:bidi="ar-QA"/>
        </w:rPr>
        <w:t>ﻋﻠﻰ</w:t>
      </w:r>
      <w:proofErr w:type="spellEnd"/>
      <w:r w:rsidRPr="000A7297">
        <w:rPr>
          <w:rFonts w:cs="Arial"/>
          <w:sz w:val="28"/>
          <w:szCs w:val="28"/>
          <w:rtl/>
          <w:lang w:bidi="ar-QA"/>
        </w:rPr>
        <w:t xml:space="preserve"> </w:t>
      </w:r>
      <w:proofErr w:type="spellStart"/>
      <w:r w:rsidRPr="000A7297">
        <w:rPr>
          <w:rFonts w:cs="Arial"/>
          <w:sz w:val="28"/>
          <w:szCs w:val="28"/>
          <w:rtl/>
          <w:lang w:bidi="ar-QA"/>
        </w:rPr>
        <w:t>اﻟﺼﻌﻴﺪ</w:t>
      </w:r>
      <w:proofErr w:type="spellEnd"/>
      <w:r w:rsidRPr="000A7297">
        <w:rPr>
          <w:rFonts w:cs="Arial"/>
          <w:sz w:val="28"/>
          <w:szCs w:val="28"/>
          <w:rtl/>
          <w:lang w:bidi="ar-QA"/>
        </w:rPr>
        <w:t xml:space="preserve"> الوطني. </w:t>
      </w:r>
    </w:p>
    <w:p w:rsidR="00536EB8" w:rsidRPr="000A7297" w:rsidRDefault="00536EB8" w:rsidP="00C22561">
      <w:pPr>
        <w:pStyle w:val="ListParagraph"/>
        <w:keepNext/>
        <w:numPr>
          <w:ilvl w:val="0"/>
          <w:numId w:val="16"/>
        </w:numPr>
        <w:bidi/>
        <w:spacing w:before="240" w:after="120"/>
        <w:ind w:left="567" w:hanging="567"/>
        <w:rPr>
          <w:rFonts w:ascii="Arial" w:eastAsia="Times New Roman" w:hAnsi="Arial" w:cs="Arial"/>
          <w:bCs/>
          <w:sz w:val="28"/>
          <w:szCs w:val="28"/>
          <w:lang w:val="en-GB"/>
        </w:rPr>
      </w:pPr>
      <w:r w:rsidRPr="000A7297">
        <w:rPr>
          <w:rFonts w:ascii="Arial" w:hAnsi="Arial" w:cs="Arial"/>
          <w:bCs/>
          <w:sz w:val="28"/>
          <w:szCs w:val="28"/>
          <w:rtl/>
          <w:lang w:bidi="ar-QA"/>
        </w:rPr>
        <w:t>إطار النتائج الشامل</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واصلت اللجنة عملية وضع إطار النتائج الشامل مؤكّدة من جديد التزامها بتحسين تنفيذ الاتفاقية ورصدها. وكان الهدف من ذلك متابعة توصيات مرفق الإشراف الداخلي للنشاط </w:t>
      </w:r>
      <w:proofErr w:type="spellStart"/>
      <w:r w:rsidRPr="000A7297">
        <w:rPr>
          <w:rFonts w:cs="Arial"/>
          <w:sz w:val="28"/>
          <w:szCs w:val="28"/>
          <w:rtl/>
          <w:lang w:bidi="ar-QA"/>
        </w:rPr>
        <w:t>التقنيني</w:t>
      </w:r>
      <w:proofErr w:type="spellEnd"/>
      <w:r w:rsidRPr="000A7297">
        <w:rPr>
          <w:rFonts w:cs="Arial"/>
          <w:sz w:val="28"/>
          <w:szCs w:val="28"/>
          <w:rtl/>
          <w:lang w:bidi="ar-QA"/>
        </w:rPr>
        <w:t xml:space="preserve"> لقطاع الثقافة في اليونسكو، وهو ما أنجز في عام 2013. ورحّبت اللجنة في دورتها الحادية عشرة بنتائج اجتماع الخبراء التمهيدي في هذا الشأن والذي عقد في بيجين، الصين، في عام 2016 (انظر الوثيقة </w:t>
      </w:r>
      <w:hyperlink r:id="rId15" w:history="1">
        <w:r w:rsidRPr="000A7297">
          <w:rPr>
            <w:rStyle w:val="Hyperlink"/>
            <w:rFonts w:eastAsia="Times New Roman" w:cs="Arial"/>
            <w:sz w:val="28"/>
            <w:szCs w:val="28"/>
            <w:lang w:val="en-GB" w:bidi="ar-QA"/>
          </w:rPr>
          <w:t>ITH/16/11.COM/14</w:t>
        </w:r>
      </w:hyperlink>
      <w:r w:rsidRPr="000A7297">
        <w:rPr>
          <w:rFonts w:cs="Arial"/>
          <w:sz w:val="28"/>
          <w:szCs w:val="28"/>
          <w:rtl/>
          <w:lang w:bidi="ar-QA"/>
        </w:rPr>
        <w:t>).</w:t>
      </w:r>
      <w:r w:rsidRPr="000A7297">
        <w:rPr>
          <w:rFonts w:eastAsia="Times New Roman" w:cs="Arial"/>
          <w:sz w:val="28"/>
          <w:szCs w:val="28"/>
          <w:lang w:val="en-GB"/>
        </w:rPr>
        <w:t xml:space="preserve"> </w:t>
      </w:r>
      <w:r w:rsidRPr="000A7297">
        <w:rPr>
          <w:rFonts w:cs="Arial"/>
          <w:sz w:val="28"/>
          <w:szCs w:val="28"/>
          <w:rtl/>
          <w:lang w:bidi="ar-QA"/>
        </w:rPr>
        <w:t xml:space="preserve">واجتمع فريق عامل حكومي دولي مفتوح العضوية في </w:t>
      </w:r>
      <w:proofErr w:type="spellStart"/>
      <w:r w:rsidRPr="000A7297">
        <w:rPr>
          <w:rFonts w:cs="Arial"/>
          <w:sz w:val="28"/>
          <w:szCs w:val="28"/>
          <w:rtl/>
          <w:lang w:bidi="ar-QA"/>
        </w:rPr>
        <w:t>تشنغدو</w:t>
      </w:r>
      <w:proofErr w:type="spellEnd"/>
      <w:r w:rsidRPr="000A7297">
        <w:rPr>
          <w:rFonts w:cs="Arial"/>
          <w:sz w:val="28"/>
          <w:szCs w:val="28"/>
          <w:rtl/>
          <w:lang w:bidi="ar-QA"/>
        </w:rPr>
        <w:t>، الصين، في 2017 استناداً إلى نتائج اجتماع الخبراء</w:t>
      </w:r>
      <w:r w:rsidR="00305265" w:rsidRPr="000A7297">
        <w:rPr>
          <w:rFonts w:cs="Arial"/>
          <w:sz w:val="28"/>
          <w:szCs w:val="28"/>
          <w:rtl/>
          <w:lang w:bidi="ar-QA"/>
        </w:rPr>
        <w:t xml:space="preserve"> هذا. ودرست اللجنة مشروع مقترح </w:t>
      </w:r>
      <w:r w:rsidRPr="000A7297">
        <w:rPr>
          <w:rFonts w:cs="Arial"/>
          <w:sz w:val="28"/>
          <w:szCs w:val="28"/>
          <w:rtl/>
          <w:lang w:bidi="ar-QA"/>
        </w:rPr>
        <w:t xml:space="preserve">إطار نتائج خلال دورتها الثانية عشرة (الوثيقة </w:t>
      </w:r>
      <w:hyperlink r:id="rId16" w:history="1">
        <w:r w:rsidRPr="000A7297">
          <w:rPr>
            <w:rStyle w:val="Hyperlink"/>
            <w:rFonts w:eastAsia="Times New Roman" w:cs="Arial"/>
            <w:sz w:val="28"/>
            <w:szCs w:val="28"/>
            <w:lang w:val="en-GB" w:bidi="ar-QA"/>
          </w:rPr>
          <w:t>ITH/17/12.COM/9</w:t>
        </w:r>
      </w:hyperlink>
      <w:r w:rsidRPr="000A7297">
        <w:rPr>
          <w:rFonts w:cs="Arial"/>
          <w:sz w:val="28"/>
          <w:szCs w:val="28"/>
          <w:rtl/>
          <w:lang w:bidi="ar-QA"/>
        </w:rPr>
        <w:t>) وأحالته إلى الجمعية العامة للنظر فيه/مع توصية باعتماده في دورتها السابعة.</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مكّن الدعم السخي من حكومة جمهورية الصين الشعبية (القراران </w:t>
      </w:r>
      <w:hyperlink r:id="rId17" w:history="1">
        <w:r w:rsidRPr="000A7297">
          <w:rPr>
            <w:rStyle w:val="Hyperlink"/>
            <w:rFonts w:eastAsia="Times New Roman" w:cs="Arial"/>
            <w:sz w:val="28"/>
            <w:szCs w:val="28"/>
            <w:lang w:val="en-GB" w:bidi="ar-QA"/>
          </w:rPr>
          <w:t>10.COM 9</w:t>
        </w:r>
      </w:hyperlink>
      <w:r w:rsidRPr="000A7297">
        <w:rPr>
          <w:rFonts w:cs="Arial"/>
          <w:sz w:val="28"/>
          <w:szCs w:val="28"/>
          <w:rtl/>
          <w:lang w:bidi="ar-QA"/>
        </w:rPr>
        <w:t xml:space="preserve"> و</w:t>
      </w:r>
      <w:hyperlink r:id="rId18" w:history="1">
        <w:r w:rsidRPr="000A7297">
          <w:rPr>
            <w:rStyle w:val="Hyperlink"/>
            <w:rFonts w:eastAsia="Times New Roman" w:cs="Arial"/>
            <w:sz w:val="28"/>
            <w:szCs w:val="28"/>
            <w:lang w:val="en-GB" w:bidi="ar-QA"/>
          </w:rPr>
          <w:t>11.COM 6</w:t>
        </w:r>
      </w:hyperlink>
      <w:r w:rsidRPr="000A7297">
        <w:rPr>
          <w:rFonts w:cs="Arial"/>
          <w:sz w:val="28"/>
          <w:szCs w:val="28"/>
          <w:rtl/>
          <w:lang w:bidi="ar-QA"/>
        </w:rPr>
        <w:t>)، بما مجموعه 150000 دولار أمريكي، من تنظيم كلّ من اجتماع الخبراء التمهيدي والفريق العامل الحكومي الدولي مفتوح العضوية.</w:t>
      </w:r>
    </w:p>
    <w:p w:rsidR="00536EB8" w:rsidRPr="000A7297" w:rsidRDefault="00536EB8" w:rsidP="00C22561">
      <w:pPr>
        <w:pStyle w:val="Marge"/>
        <w:keepNext/>
        <w:numPr>
          <w:ilvl w:val="0"/>
          <w:numId w:val="16"/>
        </w:numPr>
        <w:spacing w:before="240" w:after="120"/>
        <w:ind w:left="567" w:hanging="567"/>
        <w:rPr>
          <w:rFonts w:eastAsia="Times New Roman" w:cs="Arial"/>
          <w:bCs/>
          <w:i/>
          <w:sz w:val="28"/>
          <w:szCs w:val="28"/>
          <w:lang w:val="en-GB"/>
        </w:rPr>
      </w:pPr>
      <w:r w:rsidRPr="000A7297">
        <w:rPr>
          <w:rFonts w:cs="Arial"/>
          <w:bCs/>
          <w:sz w:val="28"/>
          <w:szCs w:val="28"/>
          <w:rtl/>
          <w:lang w:bidi="ar-QA"/>
        </w:rPr>
        <w:t>التوعية والتواصل</w:t>
      </w:r>
    </w:p>
    <w:p w:rsidR="00536EB8" w:rsidRPr="000A7297" w:rsidRDefault="00536EB8" w:rsidP="004B5FF0">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تُعَدُّ التوعية بأهمية التراث الثقافي غير المادي وضمان التقدير المتبادل أحد أغراض الاتفاقية. وخصّص المكتب مبلغ 336500 دولار أمريكي للفترة الممتدة من كانون الثاني/يناير 2016 إلى كانون الأول/ديسمبر 2017 لتحقيق هذه الغاية. وتشمل الأنشطة المعتمدة على وجه الخصوص: </w:t>
      </w:r>
      <w:r w:rsidRPr="000A7297">
        <w:rPr>
          <w:rFonts w:eastAsia="Times New Roman" w:cs="Arial"/>
          <w:sz w:val="28"/>
          <w:szCs w:val="28"/>
          <w:lang w:val="en-GB" w:bidi="ar-QA"/>
        </w:rPr>
        <w:t>(</w:t>
      </w:r>
      <w:proofErr w:type="spellStart"/>
      <w:r w:rsidRPr="000A7297">
        <w:rPr>
          <w:rFonts w:eastAsia="Times New Roman" w:cs="Arial"/>
          <w:sz w:val="28"/>
          <w:szCs w:val="28"/>
          <w:lang w:val="en-GB" w:bidi="ar-QA"/>
        </w:rPr>
        <w:t>i</w:t>
      </w:r>
      <w:proofErr w:type="spellEnd"/>
      <w:r w:rsidRPr="000A7297">
        <w:rPr>
          <w:rFonts w:eastAsia="Times New Roman" w:cs="Arial"/>
          <w:sz w:val="28"/>
          <w:szCs w:val="28"/>
          <w:lang w:val="en-GB" w:bidi="ar-QA"/>
        </w:rPr>
        <w:t>)</w:t>
      </w:r>
      <w:r w:rsidRPr="000A7297">
        <w:rPr>
          <w:rFonts w:cs="Arial"/>
          <w:sz w:val="28"/>
          <w:szCs w:val="28"/>
          <w:rtl/>
          <w:lang w:bidi="ar-QA"/>
        </w:rPr>
        <w:t xml:space="preserve"> تصميم </w:t>
      </w:r>
      <w:r w:rsidR="004B5FF0" w:rsidRPr="000A7297">
        <w:rPr>
          <w:rFonts w:cs="Arial"/>
          <w:sz w:val="28"/>
          <w:szCs w:val="28"/>
          <w:rtl/>
          <w:lang w:bidi="ar-QA"/>
        </w:rPr>
        <w:t>خطة</w:t>
      </w:r>
      <w:r w:rsidRPr="000A7297">
        <w:rPr>
          <w:rFonts w:cs="Arial"/>
          <w:sz w:val="28"/>
          <w:szCs w:val="28"/>
          <w:rtl/>
          <w:lang w:bidi="ar-QA"/>
        </w:rPr>
        <w:t xml:space="preserve"> للاتصال والتواصل بهدف تعزيز أهداف </w:t>
      </w:r>
      <w:proofErr w:type="gramStart"/>
      <w:r w:rsidRPr="000A7297">
        <w:rPr>
          <w:rFonts w:cs="Arial"/>
          <w:sz w:val="28"/>
          <w:szCs w:val="28"/>
          <w:rtl/>
          <w:lang w:bidi="ar-QA"/>
        </w:rPr>
        <w:t>الاتفاقية ؛</w:t>
      </w:r>
      <w:proofErr w:type="gramEnd"/>
      <w:r w:rsidRPr="000A7297">
        <w:rPr>
          <w:rFonts w:cs="Arial"/>
          <w:sz w:val="28"/>
          <w:szCs w:val="28"/>
          <w:rtl/>
          <w:lang w:bidi="ar-QA"/>
        </w:rPr>
        <w:t xml:space="preserve"> </w:t>
      </w:r>
      <w:r w:rsidRPr="000A7297">
        <w:rPr>
          <w:rFonts w:eastAsia="Times New Roman" w:cs="Arial"/>
          <w:sz w:val="28"/>
          <w:szCs w:val="28"/>
          <w:lang w:val="en-GB" w:bidi="ar-QA"/>
        </w:rPr>
        <w:t>(ii)</w:t>
      </w:r>
      <w:r w:rsidRPr="000A7297">
        <w:rPr>
          <w:rFonts w:cs="Arial"/>
          <w:sz w:val="28"/>
          <w:szCs w:val="28"/>
          <w:rtl/>
          <w:lang w:val="en-GB" w:bidi="ar-QA"/>
        </w:rPr>
        <w:t xml:space="preserve"> </w:t>
      </w:r>
      <w:r w:rsidRPr="000A7297">
        <w:rPr>
          <w:rFonts w:cs="Arial"/>
          <w:sz w:val="28"/>
          <w:szCs w:val="28"/>
          <w:rtl/>
          <w:lang w:bidi="ar-QA"/>
        </w:rPr>
        <w:t>دعم إدماج التراث الثقافي غير المادي في الدروس الجامعية في مجالات مثل دراسات التراث والسياسة الثقافية والدراسات الإنمائية وغيرها ؛ و</w:t>
      </w:r>
      <w:r w:rsidRPr="000A7297">
        <w:rPr>
          <w:rFonts w:eastAsia="Times New Roman" w:cs="Arial"/>
          <w:sz w:val="28"/>
          <w:szCs w:val="28"/>
          <w:lang w:val="en-GB" w:bidi="ar-QA"/>
        </w:rPr>
        <w:t>(iii)</w:t>
      </w:r>
      <w:r w:rsidRPr="000A7297">
        <w:rPr>
          <w:rFonts w:cs="Arial"/>
          <w:sz w:val="28"/>
          <w:szCs w:val="28"/>
          <w:rtl/>
          <w:lang w:bidi="ar-QA"/>
        </w:rPr>
        <w:t xml:space="preserve"> التشاور حول كيفية دمج التراث الثقافي غير المادي في برامج التدريب للمعلمين والمدربين.</w:t>
      </w:r>
      <w:r w:rsidRPr="000A7297">
        <w:rPr>
          <w:rFonts w:eastAsia="Times New Roman" w:cs="Arial"/>
          <w:sz w:val="28"/>
          <w:szCs w:val="28"/>
          <w:lang w:val="en-GB"/>
        </w:rPr>
        <w:t xml:space="preserve"> </w:t>
      </w:r>
      <w:r w:rsidRPr="000A7297">
        <w:rPr>
          <w:rFonts w:cs="Arial"/>
          <w:sz w:val="28"/>
          <w:szCs w:val="28"/>
          <w:rtl/>
          <w:lang w:bidi="ar-QA"/>
        </w:rPr>
        <w:t xml:space="preserve">كما دعت اللجنة بموجب </w:t>
      </w:r>
      <w:hyperlink r:id="rId19" w:history="1">
        <w:r w:rsidRPr="000A7297">
          <w:rPr>
            <w:rStyle w:val="Hyperlink"/>
            <w:rFonts w:cs="Arial"/>
            <w:sz w:val="28"/>
            <w:szCs w:val="28"/>
            <w:rtl/>
          </w:rPr>
          <w:t xml:space="preserve">قرارها </w:t>
        </w:r>
        <w:r w:rsidRPr="000A7297">
          <w:rPr>
            <w:rStyle w:val="Hyperlink"/>
            <w:rFonts w:eastAsia="Times New Roman" w:cs="Arial"/>
            <w:sz w:val="28"/>
            <w:szCs w:val="28"/>
            <w:lang w:val="en-GB" w:bidi="ar-QA"/>
          </w:rPr>
          <w:t>11.COM 5</w:t>
        </w:r>
      </w:hyperlink>
      <w:r w:rsidRPr="000A7297">
        <w:rPr>
          <w:rFonts w:cs="Arial"/>
          <w:sz w:val="28"/>
          <w:szCs w:val="28"/>
          <w:rtl/>
          <w:lang w:bidi="ar-QA"/>
        </w:rPr>
        <w:t xml:space="preserve"> الأمانة إلى توسيع نطاق ووضوح أنشطتها.</w:t>
      </w:r>
      <w:r w:rsidRPr="000A7297">
        <w:rPr>
          <w:rFonts w:eastAsia="Times New Roman" w:cs="Arial"/>
          <w:sz w:val="28"/>
          <w:szCs w:val="28"/>
          <w:lang w:val="en-US"/>
        </w:rPr>
        <w:t xml:space="preserve"> </w:t>
      </w:r>
      <w:r w:rsidRPr="000A7297">
        <w:rPr>
          <w:rFonts w:cs="Arial"/>
          <w:sz w:val="28"/>
          <w:szCs w:val="28"/>
          <w:rtl/>
          <w:lang w:bidi="ar-QA"/>
        </w:rPr>
        <w:t>وترد معلومات مفصلة عن نتائج هذه الأنشطة في تقرير الأمانة إلى اللجنة (</w:t>
      </w:r>
      <w:r w:rsidRPr="00070763">
        <w:rPr>
          <w:rFonts w:cs="Arial"/>
          <w:sz w:val="28"/>
          <w:szCs w:val="28"/>
          <w:rtl/>
          <w:lang w:bidi="ar-QA"/>
        </w:rPr>
        <w:t xml:space="preserve">الوثيقة </w:t>
      </w:r>
      <w:hyperlink r:id="rId20" w:history="1">
        <w:r w:rsidRPr="00070763">
          <w:rPr>
            <w:rStyle w:val="Hyperlink"/>
            <w:rFonts w:eastAsia="Times New Roman" w:cs="Arial"/>
            <w:sz w:val="28"/>
            <w:szCs w:val="28"/>
            <w:lang w:val="en-GB" w:bidi="ar-QA"/>
          </w:rPr>
          <w:t>ITH/18/7.GA/7</w:t>
        </w:r>
      </w:hyperlink>
      <w:r w:rsidRPr="000A7297">
        <w:rPr>
          <w:rFonts w:cs="Arial"/>
          <w:sz w:val="28"/>
          <w:szCs w:val="28"/>
          <w:rtl/>
          <w:lang w:bidi="ar-QA"/>
        </w:rPr>
        <w:t>).</w:t>
      </w:r>
    </w:p>
    <w:p w:rsidR="00536EB8" w:rsidRPr="000A7297" w:rsidRDefault="00536EB8" w:rsidP="00C22561">
      <w:pPr>
        <w:keepNext/>
        <w:numPr>
          <w:ilvl w:val="0"/>
          <w:numId w:val="15"/>
        </w:numPr>
        <w:tabs>
          <w:tab w:val="clear" w:pos="720"/>
        </w:tabs>
        <w:spacing w:before="360" w:after="240"/>
        <w:ind w:left="567" w:hanging="567"/>
        <w:rPr>
          <w:rFonts w:ascii="Arial" w:eastAsia="Times New Roman" w:hAnsi="Arial" w:cs="Arial"/>
          <w:sz w:val="28"/>
          <w:szCs w:val="28"/>
          <w:lang w:val="en-GB"/>
        </w:rPr>
      </w:pPr>
      <w:r w:rsidRPr="000A7297">
        <w:rPr>
          <w:rFonts w:ascii="Arial" w:hAnsi="Arial" w:cs="Arial"/>
          <w:bCs/>
          <w:sz w:val="28"/>
          <w:szCs w:val="28"/>
          <w:rtl/>
          <w:lang w:bidi="ar-QA"/>
        </w:rPr>
        <w:t>إعداد خطة لاستخدام موارد صندوق التراث الثقافي غير المادي وزيادتها</w:t>
      </w:r>
      <w:r w:rsidRPr="000A7297">
        <w:rPr>
          <w:rFonts w:ascii="Arial" w:hAnsi="Arial" w:cs="Arial"/>
          <w:sz w:val="28"/>
          <w:szCs w:val="28"/>
          <w:rtl/>
          <w:lang w:bidi="ar-QA"/>
        </w:rPr>
        <w:t xml:space="preserve"> (المادة 7 [ت] و[ث</w:t>
      </w:r>
      <w:proofErr w:type="gramStart"/>
      <w:r w:rsidRPr="000A7297">
        <w:rPr>
          <w:rFonts w:ascii="Arial" w:hAnsi="Arial" w:cs="Arial"/>
          <w:sz w:val="28"/>
          <w:szCs w:val="28"/>
          <w:rtl/>
          <w:lang w:bidi="ar-QA"/>
        </w:rPr>
        <w:t>] )</w:t>
      </w:r>
      <w:proofErr w:type="gramEnd"/>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تقدّم اللجنة إلى دورة الجمعية العامة الحالية خطة لاستخدام موارد صندوق التراث الثقافي غير المادي للفترة الممتدة من 1 كانون الثاني/يناير 2018 إلى 31 كانون الأول/ديسمبر 2019 وللأشهر الستّ</w:t>
      </w:r>
      <w:r w:rsidR="00AA1F06" w:rsidRPr="000A7297">
        <w:rPr>
          <w:rFonts w:cs="Arial"/>
          <w:sz w:val="28"/>
          <w:szCs w:val="28"/>
          <w:rtl/>
          <w:lang w:bidi="ar-QA"/>
        </w:rPr>
        <w:t>ة</w:t>
      </w:r>
      <w:r w:rsidRPr="000A7297">
        <w:rPr>
          <w:rFonts w:cs="Arial"/>
          <w:sz w:val="28"/>
          <w:szCs w:val="28"/>
          <w:rtl/>
          <w:lang w:bidi="ar-QA"/>
        </w:rPr>
        <w:t xml:space="preserve"> الأولى من عام 2020. وتقترح هذه الخطة نهجاً جديداً مقارنة بالخطة التي اقتُرحت واعتُمدت للفترة 2016-2017 والخطط المعتمدة قبل ذلك.</w:t>
      </w:r>
      <w:r w:rsidRPr="000A7297">
        <w:rPr>
          <w:rFonts w:eastAsia="Times New Roman" w:cs="Arial"/>
          <w:sz w:val="28"/>
          <w:szCs w:val="28"/>
          <w:lang w:val="en-GB"/>
        </w:rPr>
        <w:t xml:space="preserve"> </w:t>
      </w:r>
      <w:r w:rsidRPr="000A7297">
        <w:rPr>
          <w:rFonts w:cs="Arial"/>
          <w:sz w:val="28"/>
          <w:szCs w:val="28"/>
          <w:rtl/>
          <w:lang w:bidi="ar-QA"/>
        </w:rPr>
        <w:t>وتقترح الخطة الجديدة على وجه الخصوص تدابير ترمي إلى زيادة استخدام الصندوق.</w:t>
      </w:r>
      <w:r w:rsidRPr="000A7297">
        <w:rPr>
          <w:rFonts w:eastAsia="Times New Roman" w:cs="Arial"/>
          <w:sz w:val="28"/>
          <w:szCs w:val="28"/>
          <w:lang w:val="en-GB"/>
        </w:rPr>
        <w:t xml:space="preserve"> </w:t>
      </w:r>
      <w:r w:rsidRPr="000A7297">
        <w:rPr>
          <w:rFonts w:cs="Arial"/>
          <w:sz w:val="28"/>
          <w:szCs w:val="28"/>
          <w:rtl/>
          <w:lang w:bidi="ar-QA"/>
        </w:rPr>
        <w:t>ولا تزال النسبة المئوية الأكبر مخصّصة للمساعدة الدولية.</w:t>
      </w:r>
      <w:r w:rsidRPr="000A7297">
        <w:rPr>
          <w:rFonts w:eastAsia="Times New Roman" w:cs="Arial"/>
          <w:sz w:val="28"/>
          <w:szCs w:val="28"/>
          <w:lang w:val="en-GB"/>
        </w:rPr>
        <w:t xml:space="preserve"> </w:t>
      </w:r>
      <w:r w:rsidRPr="000A7297">
        <w:rPr>
          <w:rFonts w:cs="Arial"/>
          <w:sz w:val="28"/>
          <w:szCs w:val="28"/>
          <w:rtl/>
          <w:lang w:bidi="ar-QA"/>
        </w:rPr>
        <w:t xml:space="preserve">ويمكن الاطلاع على الخطة في الوثيقة </w:t>
      </w:r>
      <w:hyperlink r:id="rId21" w:history="1">
        <w:r w:rsidRPr="00070763">
          <w:rPr>
            <w:rStyle w:val="Hyperlink"/>
            <w:rFonts w:eastAsia="Times New Roman" w:cs="Arial"/>
            <w:sz w:val="28"/>
            <w:szCs w:val="28"/>
            <w:lang w:val="en-GB" w:bidi="ar-QA"/>
          </w:rPr>
          <w:t>ITH/18/7.GA/8</w:t>
        </w:r>
      </w:hyperlink>
      <w:r w:rsidRPr="000A7297">
        <w:rPr>
          <w:rFonts w:cs="Arial"/>
          <w:sz w:val="28"/>
          <w:szCs w:val="28"/>
          <w:rtl/>
          <w:lang w:bidi="ar-QA"/>
        </w:rPr>
        <w:t>.</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تلقى الصندوق خلال فترة التقرير مساهمات طوعية إضافية من جمهورية الصين الشعبية وجمهورية كوريا وحكومة هولندا لدعم ثلاثة مشاريع مخصصة مختلفة بقيمة 597483 دولاراً أمريكياً.</w:t>
      </w:r>
      <w:r w:rsidRPr="000A7297">
        <w:rPr>
          <w:rFonts w:eastAsia="Times New Roman" w:cs="Arial"/>
          <w:sz w:val="28"/>
          <w:szCs w:val="28"/>
          <w:lang w:val="en-GB"/>
        </w:rPr>
        <w:t xml:space="preserve"> </w:t>
      </w:r>
      <w:r w:rsidRPr="000A7297">
        <w:rPr>
          <w:rFonts w:cs="Arial"/>
          <w:sz w:val="28"/>
          <w:szCs w:val="28"/>
          <w:rtl/>
          <w:lang w:bidi="ar-QA"/>
        </w:rPr>
        <w:t xml:space="preserve">ووردت كذلك مساهمات للصندوق الفرعي المخصص حصراً لتعزيز القدرات البشرية في الأمانة والتابع لصندوق التراث الثقافي غير المادي خلال فترة التقرير بقيمة 120286 دولاراً أمريكياً. </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lastRenderedPageBreak/>
        <w:t xml:space="preserve">وتتضمّن الوثيقة </w:t>
      </w:r>
      <w:hyperlink r:id="rId22" w:history="1">
        <w:r w:rsidRPr="00070763">
          <w:rPr>
            <w:rStyle w:val="Hyperlink"/>
            <w:rFonts w:eastAsia="Times New Roman" w:cs="Arial"/>
            <w:sz w:val="28"/>
            <w:szCs w:val="28"/>
            <w:lang w:val="en-GB" w:bidi="ar-QA"/>
          </w:rPr>
          <w:t>ITH/18/7.GA/INF.8</w:t>
        </w:r>
      </w:hyperlink>
      <w:r w:rsidRPr="000A7297">
        <w:rPr>
          <w:rFonts w:cs="Arial"/>
          <w:sz w:val="28"/>
          <w:szCs w:val="28"/>
          <w:rtl/>
          <w:lang w:bidi="ar-QA"/>
        </w:rPr>
        <w:t xml:space="preserve"> الواردة في الملحق الأول قائمة هذه المساهمات خلال فترة التقرير بالإضافة إلى بيان الإيرادات والنفقات في الملحق الثاني.</w:t>
      </w:r>
      <w:r w:rsidRPr="000A7297">
        <w:rPr>
          <w:rFonts w:eastAsia="Times New Roman" w:cs="Arial"/>
          <w:sz w:val="28"/>
          <w:szCs w:val="28"/>
          <w:lang w:val="en-GB"/>
        </w:rPr>
        <w:t xml:space="preserve"> </w:t>
      </w:r>
      <w:proofErr w:type="spellStart"/>
      <w:r w:rsidRPr="000A7297">
        <w:rPr>
          <w:rFonts w:cs="Arial"/>
          <w:sz w:val="28"/>
          <w:szCs w:val="28"/>
          <w:rtl/>
          <w:lang w:bidi="ar-QA"/>
        </w:rPr>
        <w:t>ولإطلاع</w:t>
      </w:r>
      <w:proofErr w:type="spellEnd"/>
      <w:r w:rsidRPr="000A7297">
        <w:rPr>
          <w:rFonts w:cs="Arial"/>
          <w:sz w:val="28"/>
          <w:szCs w:val="28"/>
          <w:rtl/>
          <w:lang w:bidi="ar-QA"/>
        </w:rPr>
        <w:t xml:space="preserve"> المانحين على الفجوة التمويلية المتعلّقة بتحقيق أهداف الاتفاقية، بما في ذلك أهداف برنامج بناء القدرات العالمي على المستوى الوطني، حددت الأمانة أولويتين رئيسيتين للتمويل بالنسبة لاتفاقية عام 2003 خلال الفترة الممتدة من 2018 إلى 2021. ووافقت اللجنة على هذه الأولويات خلال دورتها الثانية عشرة في كانون الأول/ديسمبر 2017 (القرار </w:t>
      </w:r>
      <w:hyperlink r:id="rId23" w:history="1">
        <w:r w:rsidRPr="00A50B93">
          <w:rPr>
            <w:rStyle w:val="Hyperlink"/>
            <w:rFonts w:eastAsia="Times New Roman" w:cs="Arial"/>
            <w:sz w:val="28"/>
            <w:szCs w:val="28"/>
            <w:lang w:val="en-GB" w:bidi="ar-QA"/>
          </w:rPr>
          <w:t>12.COM 6</w:t>
        </w:r>
      </w:hyperlink>
      <w:r w:rsidRPr="000A7297">
        <w:rPr>
          <w:rFonts w:cs="Arial"/>
          <w:sz w:val="28"/>
          <w:szCs w:val="28"/>
          <w:rtl/>
          <w:lang w:bidi="ar-QA"/>
        </w:rPr>
        <w:t xml:space="preserve">) كإطار يمكنها من خلاله قبول مساهمات طوعية إضافية دون موافقة صريحة. </w:t>
      </w:r>
    </w:p>
    <w:p w:rsidR="00536EB8" w:rsidRPr="000A7297" w:rsidRDefault="00536EB8" w:rsidP="00C22561">
      <w:pPr>
        <w:keepNext/>
        <w:numPr>
          <w:ilvl w:val="0"/>
          <w:numId w:val="15"/>
        </w:numPr>
        <w:tabs>
          <w:tab w:val="clear" w:pos="720"/>
        </w:tabs>
        <w:spacing w:before="360" w:after="240"/>
        <w:ind w:left="567" w:hanging="567"/>
        <w:rPr>
          <w:rFonts w:ascii="Arial" w:eastAsia="Times New Roman" w:hAnsi="Arial" w:cs="Arial"/>
          <w:b/>
          <w:sz w:val="28"/>
          <w:szCs w:val="28"/>
          <w:lang w:val="en-GB"/>
        </w:rPr>
      </w:pPr>
      <w:r w:rsidRPr="000A7297">
        <w:rPr>
          <w:rFonts w:ascii="Arial" w:hAnsi="Arial" w:cs="Arial"/>
          <w:bCs/>
          <w:sz w:val="28"/>
          <w:szCs w:val="28"/>
          <w:rtl/>
          <w:lang w:bidi="ar-QA"/>
        </w:rPr>
        <w:t>إعداد التوجيهات التنفيذية لتطبيق الاتفاقية</w:t>
      </w:r>
      <w:r w:rsidRPr="000A7297">
        <w:rPr>
          <w:rFonts w:ascii="Arial" w:hAnsi="Arial" w:cs="Arial"/>
          <w:sz w:val="28"/>
          <w:szCs w:val="28"/>
          <w:rtl/>
          <w:lang w:bidi="ar-QA"/>
        </w:rPr>
        <w:t xml:space="preserve"> (المادة 7 [ج])</w:t>
      </w:r>
    </w:p>
    <w:p w:rsidR="00536EB8" w:rsidRPr="000A7297" w:rsidRDefault="00536EB8" w:rsidP="00C22561">
      <w:pPr>
        <w:pStyle w:val="Marge"/>
        <w:numPr>
          <w:ilvl w:val="0"/>
          <w:numId w:val="14"/>
        </w:numPr>
        <w:spacing w:after="120"/>
        <w:ind w:left="567" w:hanging="567"/>
        <w:rPr>
          <w:rFonts w:eastAsia="Times New Roman" w:cs="Arial"/>
          <w:i/>
          <w:sz w:val="28"/>
          <w:szCs w:val="28"/>
          <w:lang w:val="en-GB"/>
        </w:rPr>
      </w:pPr>
      <w:r w:rsidRPr="000A7297">
        <w:rPr>
          <w:rFonts w:cs="Arial"/>
          <w:sz w:val="28"/>
          <w:szCs w:val="28"/>
          <w:rtl/>
          <w:lang w:bidi="ar-QA"/>
        </w:rPr>
        <w:t>خلال فترة التقرير، أوصت اللجنة الجمعية العامة بأن توافق على إدخال تعديلات على التوجيهات التنفيذية لتطبيق الاتفاقية بشأن تقديم التقارير الدورية. وتوصي اللجنة على وجه الخصوص بالانتقال إلى دورة إقليمية لتقديم التقارير الوطنية.</w:t>
      </w:r>
    </w:p>
    <w:p w:rsidR="00536EB8" w:rsidRPr="000A7297" w:rsidRDefault="00536EB8" w:rsidP="00C22561">
      <w:pPr>
        <w:keepNext/>
        <w:numPr>
          <w:ilvl w:val="0"/>
          <w:numId w:val="15"/>
        </w:numPr>
        <w:tabs>
          <w:tab w:val="clear" w:pos="720"/>
        </w:tabs>
        <w:spacing w:before="360" w:after="240"/>
        <w:ind w:left="567" w:hanging="567"/>
        <w:rPr>
          <w:rFonts w:ascii="Arial" w:eastAsia="Times New Roman" w:hAnsi="Arial" w:cs="Arial"/>
          <w:b/>
          <w:sz w:val="28"/>
          <w:szCs w:val="28"/>
          <w:lang w:val="en-GB"/>
        </w:rPr>
      </w:pPr>
      <w:r w:rsidRPr="000A7297">
        <w:rPr>
          <w:rFonts w:ascii="Arial" w:hAnsi="Arial" w:cs="Arial"/>
          <w:bCs/>
          <w:sz w:val="28"/>
          <w:szCs w:val="28"/>
          <w:rtl/>
          <w:lang w:bidi="ar-QA"/>
        </w:rPr>
        <w:t>دراسة التقارير الدورية</w:t>
      </w:r>
      <w:r w:rsidRPr="000A7297">
        <w:rPr>
          <w:rFonts w:ascii="Arial" w:hAnsi="Arial" w:cs="Arial"/>
          <w:sz w:val="28"/>
          <w:szCs w:val="28"/>
          <w:rtl/>
          <w:lang w:bidi="ar-QA"/>
        </w:rPr>
        <w:t xml:space="preserve"> (المادة 7 [ح])</w:t>
      </w:r>
    </w:p>
    <w:p w:rsidR="00536EB8" w:rsidRPr="000A7297" w:rsidRDefault="00536EB8" w:rsidP="00C22561">
      <w:pPr>
        <w:pStyle w:val="Marge"/>
        <w:numPr>
          <w:ilvl w:val="0"/>
          <w:numId w:val="14"/>
        </w:numPr>
        <w:spacing w:after="120"/>
        <w:ind w:left="567" w:hanging="567"/>
        <w:rPr>
          <w:rFonts w:eastAsia="Times New Roman" w:cs="Arial"/>
          <w:sz w:val="28"/>
          <w:szCs w:val="28"/>
          <w:lang w:val="en-GB"/>
        </w:rPr>
      </w:pPr>
      <w:r w:rsidRPr="000A7297">
        <w:rPr>
          <w:rFonts w:cs="Arial"/>
          <w:sz w:val="28"/>
          <w:szCs w:val="28"/>
          <w:rtl/>
          <w:lang w:bidi="ar-QA"/>
        </w:rPr>
        <w:t xml:space="preserve">تنصّ المادة 29 من </w:t>
      </w:r>
      <w:hyperlink r:id="rId24" w:history="1">
        <w:r w:rsidRPr="000A7297">
          <w:rPr>
            <w:rStyle w:val="Hyperlink"/>
            <w:rFonts w:cs="Arial"/>
            <w:sz w:val="28"/>
            <w:szCs w:val="28"/>
            <w:rtl/>
            <w:lang w:bidi="ar-QA"/>
          </w:rPr>
          <w:t>الاتفاقية</w:t>
        </w:r>
      </w:hyperlink>
      <w:r w:rsidRPr="000A7297">
        <w:rPr>
          <w:rFonts w:cs="Arial"/>
          <w:sz w:val="28"/>
          <w:szCs w:val="28"/>
          <w:rtl/>
          <w:lang w:bidi="ar-QA"/>
        </w:rPr>
        <w:t xml:space="preserve"> على أن تقدم الدول الأطراف إلى اللجنة تقارير عن التدابير التشريعية والتنظيمية وغيرها من التدابير التي تتخذها لتطبيق الاتفاقية وتستطرد المادة 30 قائلة "تقدم اللجنة تقريراً إلى الجمعية العامة على أساس أنشطتها وتقارير الدول الأطراف".</w:t>
      </w:r>
      <w:r w:rsidRPr="000A7297">
        <w:rPr>
          <w:rFonts w:eastAsia="Times New Roman" w:cs="Arial"/>
          <w:sz w:val="28"/>
          <w:szCs w:val="28"/>
          <w:lang w:val="en-GB"/>
        </w:rPr>
        <w:t xml:space="preserve"> </w:t>
      </w:r>
      <w:r w:rsidRPr="000A7297">
        <w:rPr>
          <w:rFonts w:cs="Arial"/>
          <w:sz w:val="28"/>
          <w:szCs w:val="28"/>
          <w:rtl/>
          <w:lang w:bidi="ar-QA"/>
        </w:rPr>
        <w:t>وقد درست اللجنة خلال تلك الفترة 17 تقريراً مقدّماً من الدول الأطراف بشأن تطبيق الاتفاقية على الصعيد الوطني (</w:t>
      </w:r>
      <w:hyperlink r:id="rId25" w:history="1">
        <w:r w:rsidRPr="000A7297">
          <w:rPr>
            <w:rStyle w:val="Hyperlink"/>
            <w:rFonts w:cs="Arial"/>
            <w:sz w:val="28"/>
            <w:szCs w:val="28"/>
            <w:rtl/>
          </w:rPr>
          <w:t>6</w:t>
        </w:r>
      </w:hyperlink>
      <w:r w:rsidRPr="000A7297">
        <w:rPr>
          <w:rFonts w:cs="Arial"/>
          <w:sz w:val="28"/>
          <w:szCs w:val="28"/>
          <w:rtl/>
          <w:lang w:bidi="ar-QA"/>
        </w:rPr>
        <w:t xml:space="preserve"> في 2016 و</w:t>
      </w:r>
      <w:hyperlink r:id="rId26" w:history="1">
        <w:r w:rsidRPr="000A7297">
          <w:rPr>
            <w:rStyle w:val="Hyperlink"/>
            <w:rFonts w:cs="Arial"/>
            <w:sz w:val="28"/>
            <w:szCs w:val="28"/>
            <w:rtl/>
          </w:rPr>
          <w:t>11</w:t>
        </w:r>
      </w:hyperlink>
      <w:r w:rsidRPr="000A7297">
        <w:rPr>
          <w:rFonts w:cs="Arial"/>
          <w:sz w:val="28"/>
          <w:szCs w:val="28"/>
          <w:rtl/>
          <w:lang w:bidi="ar-QA"/>
        </w:rPr>
        <w:t xml:space="preserve"> في 2017) و18 تقريراً عن حالة عناصر مسجّلة في قائمة التراث الثقافي غير المادي الذي يحتاج إلى صون عاجل (</w:t>
      </w:r>
      <w:hyperlink r:id="rId27" w:history="1">
        <w:r w:rsidRPr="000A7297">
          <w:rPr>
            <w:rStyle w:val="Hyperlink"/>
            <w:rFonts w:cs="Arial"/>
            <w:sz w:val="28"/>
            <w:szCs w:val="28"/>
            <w:rtl/>
          </w:rPr>
          <w:t>6</w:t>
        </w:r>
      </w:hyperlink>
      <w:r w:rsidRPr="000A7297">
        <w:rPr>
          <w:rFonts w:cs="Arial"/>
          <w:sz w:val="28"/>
          <w:szCs w:val="28"/>
          <w:rtl/>
          <w:lang w:bidi="ar-QA"/>
        </w:rPr>
        <w:t xml:space="preserve"> في 2016 و</w:t>
      </w:r>
      <w:hyperlink r:id="rId28" w:history="1">
        <w:r w:rsidRPr="000A7297">
          <w:rPr>
            <w:rStyle w:val="Hyperlink"/>
            <w:rFonts w:cs="Arial"/>
            <w:sz w:val="28"/>
            <w:szCs w:val="28"/>
            <w:rtl/>
          </w:rPr>
          <w:t>12</w:t>
        </w:r>
      </w:hyperlink>
      <w:r w:rsidRPr="000A7297">
        <w:rPr>
          <w:rFonts w:cs="Arial"/>
          <w:sz w:val="28"/>
          <w:szCs w:val="28"/>
          <w:rtl/>
          <w:lang w:bidi="ar-QA"/>
        </w:rPr>
        <w:t xml:space="preserve"> في 2017). </w:t>
      </w:r>
    </w:p>
    <w:p w:rsidR="00536EB8" w:rsidRPr="000A7297" w:rsidRDefault="00536EB8" w:rsidP="00B11A05">
      <w:pPr>
        <w:pStyle w:val="Marge"/>
        <w:numPr>
          <w:ilvl w:val="0"/>
          <w:numId w:val="14"/>
        </w:numPr>
        <w:tabs>
          <w:tab w:val="clear" w:pos="928"/>
        </w:tabs>
        <w:spacing w:after="120"/>
        <w:ind w:left="567" w:hanging="567"/>
        <w:rPr>
          <w:rFonts w:eastAsia="Times New Roman" w:cs="Arial"/>
          <w:sz w:val="28"/>
          <w:szCs w:val="28"/>
          <w:rtl/>
          <w:lang w:val="en-GB"/>
        </w:rPr>
      </w:pPr>
      <w:r w:rsidRPr="000A7297">
        <w:rPr>
          <w:rFonts w:cs="Arial"/>
          <w:sz w:val="28"/>
          <w:szCs w:val="28"/>
          <w:rtl/>
          <w:lang w:bidi="ar-QA"/>
        </w:rPr>
        <w:t xml:space="preserve">وتضم وثائق عمل اللجنة عرضاً مفصلاً وملخصاً للتقارير الدورية، بالصيغة التي اعتمدتها اللجنة في قراراتها </w:t>
      </w:r>
      <w:hyperlink r:id="rId29" w:history="1">
        <w:r w:rsidRPr="000A7297">
          <w:rPr>
            <w:rStyle w:val="Hyperlink"/>
            <w:rFonts w:eastAsia="Times New Roman" w:cs="Arial"/>
            <w:sz w:val="28"/>
            <w:szCs w:val="28"/>
            <w:lang w:val="en-US" w:bidi="ar-QA"/>
          </w:rPr>
          <w:t>11.COM 9.a</w:t>
        </w:r>
      </w:hyperlink>
      <w:r w:rsidRPr="000A7297">
        <w:rPr>
          <w:rFonts w:cs="Arial"/>
          <w:sz w:val="28"/>
          <w:szCs w:val="28"/>
          <w:rtl/>
          <w:lang w:bidi="ar-QA"/>
        </w:rPr>
        <w:t xml:space="preserve"> و</w:t>
      </w:r>
      <w:hyperlink r:id="rId30" w:history="1">
        <w:r w:rsidRPr="000A7297">
          <w:rPr>
            <w:rStyle w:val="Hyperlink"/>
            <w:rFonts w:eastAsia="Times New Roman" w:cs="Arial"/>
            <w:sz w:val="28"/>
            <w:szCs w:val="28"/>
            <w:lang w:val="en-US" w:bidi="ar-QA"/>
          </w:rPr>
          <w:t>11.COM 9.b</w:t>
        </w:r>
      </w:hyperlink>
      <w:r w:rsidRPr="000A7297">
        <w:rPr>
          <w:rFonts w:cs="Arial"/>
          <w:sz w:val="28"/>
          <w:szCs w:val="28"/>
          <w:rtl/>
          <w:lang w:bidi="ar-QA"/>
        </w:rPr>
        <w:t xml:space="preserve"> (بشأن تقارير عام 2016) وقراراتها </w:t>
      </w:r>
      <w:hyperlink r:id="rId31" w:history="1">
        <w:r w:rsidRPr="000A7297">
          <w:rPr>
            <w:rStyle w:val="Hyperlink"/>
            <w:rFonts w:eastAsia="Times New Roman" w:cs="Arial"/>
            <w:sz w:val="28"/>
            <w:szCs w:val="28"/>
            <w:lang w:val="en-US" w:bidi="ar-QA"/>
          </w:rPr>
          <w:t>12.COM 8.b</w:t>
        </w:r>
      </w:hyperlink>
      <w:r w:rsidRPr="000A7297">
        <w:rPr>
          <w:rFonts w:cs="Arial"/>
          <w:sz w:val="28"/>
          <w:szCs w:val="28"/>
          <w:rtl/>
          <w:lang w:bidi="ar-QA"/>
        </w:rPr>
        <w:t xml:space="preserve"> و</w:t>
      </w:r>
      <w:hyperlink r:id="rId32" w:history="1">
        <w:r w:rsidRPr="000A7297">
          <w:rPr>
            <w:rStyle w:val="Hyperlink"/>
            <w:rFonts w:eastAsia="Times New Roman" w:cs="Arial"/>
            <w:sz w:val="28"/>
            <w:szCs w:val="28"/>
            <w:lang w:val="en-US" w:bidi="ar-QA"/>
          </w:rPr>
          <w:t>12.COM 8.</w:t>
        </w:r>
        <w:r w:rsidRPr="000A7297">
          <w:rPr>
            <w:rStyle w:val="Hyperlink"/>
            <w:rFonts w:eastAsia="Times New Roman" w:cs="Arial"/>
            <w:sz w:val="28"/>
            <w:szCs w:val="28"/>
            <w:lang w:val="en-GB" w:bidi="ar-QA"/>
          </w:rPr>
          <w:t>c</w:t>
        </w:r>
      </w:hyperlink>
      <w:r w:rsidRPr="000A7297">
        <w:rPr>
          <w:rFonts w:cs="Arial"/>
          <w:sz w:val="28"/>
          <w:szCs w:val="28"/>
          <w:rtl/>
          <w:lang w:bidi="ar-QA"/>
        </w:rPr>
        <w:t xml:space="preserve"> (بشأن تقارير عام 2017) على النحو التالي:</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57" w:type="dxa"/>
          <w:bottom w:w="15" w:type="dxa"/>
          <w:right w:w="57" w:type="dxa"/>
        </w:tblCellMar>
        <w:tblLook w:val="00A0" w:firstRow="1" w:lastRow="0" w:firstColumn="1" w:lastColumn="0" w:noHBand="0" w:noVBand="0"/>
      </w:tblPr>
      <w:tblGrid>
        <w:gridCol w:w="3636"/>
        <w:gridCol w:w="5504"/>
      </w:tblGrid>
      <w:tr w:rsidR="00536EB8" w:rsidRPr="000A7297" w:rsidTr="00873ACB">
        <w:tc>
          <w:tcPr>
            <w:tcW w:w="3636" w:type="dxa"/>
            <w:vAlign w:val="center"/>
          </w:tcPr>
          <w:p w:rsidR="00536EB8" w:rsidRPr="000A7297" w:rsidRDefault="00536EB8" w:rsidP="00873ACB">
            <w:pPr>
              <w:spacing w:before="120" w:after="120"/>
              <w:rPr>
                <w:rFonts w:ascii="Arial" w:hAnsi="Arial" w:cs="Arial"/>
                <w:b/>
                <w:rtl/>
              </w:rPr>
            </w:pPr>
            <w:r w:rsidRPr="000A7297">
              <w:rPr>
                <w:rFonts w:ascii="Arial" w:eastAsia="Times New Roman" w:hAnsi="Arial" w:cs="Arial"/>
                <w:b/>
                <w:noProof/>
              </w:rPr>
              <w:t>ITH/16/11.COM/9.a</w:t>
            </w:r>
            <w:r w:rsidRPr="000A7297">
              <w:rPr>
                <w:rFonts w:ascii="Arial" w:hAnsi="Arial" w:cs="Arial"/>
                <w:b/>
                <w:rtl/>
              </w:rPr>
              <w:t xml:space="preserve">: </w:t>
            </w:r>
          </w:p>
          <w:p w:rsidR="00536EB8" w:rsidRPr="000A7297" w:rsidRDefault="00E361F7" w:rsidP="00873ACB">
            <w:pPr>
              <w:spacing w:before="120" w:after="120"/>
              <w:rPr>
                <w:rFonts w:ascii="Arial" w:hAnsi="Arial" w:cs="Arial"/>
                <w:sz w:val="28"/>
                <w:szCs w:val="28"/>
                <w:rtl/>
              </w:rPr>
            </w:pPr>
            <w:hyperlink r:id="rId33" w:tgtFrame="_blank" w:history="1">
              <w:r w:rsidR="00536EB8" w:rsidRPr="000A7297">
                <w:rPr>
                  <w:rStyle w:val="Hyperlink"/>
                  <w:rFonts w:ascii="Arial" w:eastAsia="Times New Roman" w:hAnsi="Arial" w:cs="Arial"/>
                  <w:b/>
                  <w:noProof/>
                  <w:sz w:val="28"/>
                  <w:szCs w:val="28"/>
                  <w:rtl/>
                  <w:lang w:val="en-GB"/>
                </w:rPr>
                <w:t>انجليزي</w:t>
              </w:r>
            </w:hyperlink>
            <w:r w:rsidR="00536EB8" w:rsidRPr="000A7297">
              <w:rPr>
                <w:rFonts w:ascii="Arial" w:eastAsia="Times New Roman" w:hAnsi="Arial" w:cs="Arial"/>
                <w:noProof/>
                <w:sz w:val="28"/>
                <w:szCs w:val="28"/>
              </w:rPr>
              <w:t>/</w:t>
            </w:r>
            <w:hyperlink r:id="rId34" w:tgtFrame="_blank" w:history="1">
              <w:r w:rsidR="00536EB8" w:rsidRPr="000A7297">
                <w:rPr>
                  <w:rStyle w:val="Hyperlink"/>
                  <w:rFonts w:ascii="Arial" w:eastAsia="Times New Roman" w:hAnsi="Arial" w:cs="Arial"/>
                  <w:b/>
                  <w:noProof/>
                  <w:sz w:val="28"/>
                  <w:szCs w:val="28"/>
                  <w:rtl/>
                  <w:lang w:val="en-GB"/>
                </w:rPr>
                <w:t>فرنسي</w:t>
              </w:r>
            </w:hyperlink>
          </w:p>
          <w:p w:rsidR="00536EB8" w:rsidRPr="000A7297" w:rsidRDefault="00536EB8" w:rsidP="00873ACB">
            <w:pPr>
              <w:spacing w:before="120" w:after="120"/>
              <w:rPr>
                <w:rFonts w:ascii="Arial" w:eastAsia="Times New Roman" w:hAnsi="Arial" w:cs="Arial"/>
                <w:sz w:val="28"/>
                <w:szCs w:val="28"/>
              </w:rPr>
            </w:pPr>
            <w:r w:rsidRPr="000A7297">
              <w:rPr>
                <w:rFonts w:ascii="Arial" w:hAnsi="Arial" w:cs="Arial"/>
                <w:noProof/>
                <w:sz w:val="28"/>
                <w:szCs w:val="28"/>
                <w:rtl/>
              </w:rPr>
              <w:t>انظر التقارير المقدمة:</w:t>
            </w:r>
            <w:r w:rsidRPr="000A7297">
              <w:rPr>
                <w:rFonts w:ascii="Arial" w:hAnsi="Arial" w:cs="Arial"/>
                <w:sz w:val="28"/>
                <w:szCs w:val="28"/>
                <w:rtl/>
              </w:rPr>
              <w:t xml:space="preserve"> </w:t>
            </w:r>
            <w:hyperlink r:id="rId35" w:history="1">
              <w:r w:rsidRPr="000A7297">
                <w:rPr>
                  <w:rStyle w:val="Hyperlink"/>
                  <w:rFonts w:ascii="Arial" w:eastAsia="Times New Roman" w:hAnsi="Arial" w:cs="Arial"/>
                  <w:b/>
                  <w:i/>
                  <w:noProof/>
                  <w:sz w:val="28"/>
                  <w:szCs w:val="28"/>
                  <w:rtl/>
                  <w:lang w:val="en-GB"/>
                </w:rPr>
                <w:t>6 تقارير</w:t>
              </w:r>
            </w:hyperlink>
          </w:p>
        </w:tc>
        <w:tc>
          <w:tcPr>
            <w:tcW w:w="5504" w:type="dxa"/>
            <w:vAlign w:val="center"/>
          </w:tcPr>
          <w:p w:rsidR="00536EB8" w:rsidRPr="000A7297" w:rsidRDefault="00536EB8" w:rsidP="00873ACB">
            <w:pPr>
              <w:spacing w:before="120" w:after="120"/>
              <w:rPr>
                <w:rFonts w:ascii="Arial" w:eastAsia="Times New Roman" w:hAnsi="Arial" w:cs="Arial"/>
                <w:b/>
                <w:sz w:val="28"/>
                <w:szCs w:val="28"/>
              </w:rPr>
            </w:pPr>
            <w:r w:rsidRPr="000A7297">
              <w:rPr>
                <w:rFonts w:ascii="Arial" w:hAnsi="Arial" w:cs="Arial"/>
                <w:noProof/>
                <w:sz w:val="28"/>
                <w:szCs w:val="28"/>
                <w:rtl/>
              </w:rPr>
              <w:t>دراسة تقارير الدول الأطراف عن تطبيق الاتفاقية وعن الوضع الراهن للعناصر المدرجة في القائمة التمثيلية للتراث الثقافي غير المادي للبشرية (دورة 2016)</w:t>
            </w:r>
          </w:p>
        </w:tc>
      </w:tr>
      <w:tr w:rsidR="00536EB8" w:rsidRPr="000A7297" w:rsidTr="00873ACB">
        <w:tc>
          <w:tcPr>
            <w:tcW w:w="3636" w:type="dxa"/>
            <w:vAlign w:val="center"/>
          </w:tcPr>
          <w:p w:rsidR="00536EB8" w:rsidRPr="000A7297" w:rsidRDefault="00536EB8" w:rsidP="00B11A05">
            <w:pPr>
              <w:spacing w:before="120" w:after="120"/>
              <w:rPr>
                <w:rFonts w:ascii="Arial" w:hAnsi="Arial" w:cs="Arial"/>
                <w:b/>
                <w:rtl/>
              </w:rPr>
            </w:pPr>
            <w:r w:rsidRPr="000A7297">
              <w:rPr>
                <w:rFonts w:ascii="Arial" w:eastAsia="Times New Roman" w:hAnsi="Arial" w:cs="Arial"/>
                <w:b/>
              </w:rPr>
              <w:t>ITH/16/11.COM/</w:t>
            </w:r>
            <w:proofErr w:type="gramStart"/>
            <w:r w:rsidRPr="000A7297">
              <w:rPr>
                <w:rFonts w:ascii="Arial" w:eastAsia="Times New Roman" w:hAnsi="Arial" w:cs="Arial"/>
                <w:b/>
              </w:rPr>
              <w:t>9.b</w:t>
            </w:r>
            <w:proofErr w:type="gramEnd"/>
            <w:r w:rsidRPr="000A7297">
              <w:rPr>
                <w:rFonts w:ascii="Arial" w:hAnsi="Arial" w:cs="Arial"/>
                <w:b/>
                <w:rtl/>
              </w:rPr>
              <w:t xml:space="preserve">: </w:t>
            </w:r>
          </w:p>
          <w:p w:rsidR="00536EB8" w:rsidRPr="000A7297" w:rsidRDefault="00E361F7" w:rsidP="00B11A05">
            <w:pPr>
              <w:spacing w:before="120" w:after="120"/>
              <w:rPr>
                <w:rFonts w:ascii="Arial" w:hAnsi="Arial" w:cs="Arial"/>
                <w:sz w:val="28"/>
                <w:szCs w:val="28"/>
                <w:rtl/>
              </w:rPr>
            </w:pPr>
            <w:hyperlink r:id="rId36" w:tgtFrame="_blank" w:history="1">
              <w:r w:rsidR="00536EB8" w:rsidRPr="000A7297">
                <w:rPr>
                  <w:rStyle w:val="Hyperlink"/>
                  <w:rFonts w:ascii="Arial" w:eastAsia="Times New Roman" w:hAnsi="Arial" w:cs="Arial"/>
                  <w:b/>
                  <w:noProof/>
                  <w:sz w:val="28"/>
                  <w:szCs w:val="28"/>
                  <w:rtl/>
                  <w:lang w:val="en-GB"/>
                </w:rPr>
                <w:t>انجليزي</w:t>
              </w:r>
            </w:hyperlink>
            <w:r w:rsidR="00536EB8" w:rsidRPr="000A7297">
              <w:rPr>
                <w:rFonts w:ascii="Arial" w:eastAsia="Times New Roman" w:hAnsi="Arial" w:cs="Arial"/>
                <w:noProof/>
                <w:sz w:val="28"/>
                <w:szCs w:val="28"/>
              </w:rPr>
              <w:t>/</w:t>
            </w:r>
            <w:hyperlink r:id="rId37" w:tgtFrame="_blank" w:history="1">
              <w:r w:rsidR="00536EB8" w:rsidRPr="000A7297">
                <w:rPr>
                  <w:rStyle w:val="Hyperlink"/>
                  <w:rFonts w:ascii="Arial" w:eastAsia="Times New Roman" w:hAnsi="Arial" w:cs="Arial"/>
                  <w:b/>
                  <w:noProof/>
                  <w:sz w:val="28"/>
                  <w:szCs w:val="28"/>
                  <w:rtl/>
                  <w:lang w:val="en-GB"/>
                </w:rPr>
                <w:t>فرنسي</w:t>
              </w:r>
            </w:hyperlink>
          </w:p>
          <w:p w:rsidR="00536EB8" w:rsidRPr="000A7297" w:rsidRDefault="00536EB8" w:rsidP="00B11A05">
            <w:pPr>
              <w:spacing w:before="120" w:after="120"/>
              <w:rPr>
                <w:rFonts w:ascii="Arial" w:eastAsia="Times New Roman" w:hAnsi="Arial" w:cs="Arial"/>
                <w:b/>
                <w:sz w:val="28"/>
                <w:szCs w:val="28"/>
              </w:rPr>
            </w:pPr>
            <w:r w:rsidRPr="000A7297">
              <w:rPr>
                <w:rFonts w:ascii="Arial" w:hAnsi="Arial" w:cs="Arial"/>
                <w:noProof/>
                <w:sz w:val="28"/>
                <w:szCs w:val="28"/>
                <w:rtl/>
              </w:rPr>
              <w:t>انظر التقارير المقدمة:</w:t>
            </w:r>
            <w:r w:rsidRPr="000A7297">
              <w:rPr>
                <w:rFonts w:ascii="Arial" w:hAnsi="Arial" w:cs="Arial"/>
                <w:sz w:val="28"/>
                <w:szCs w:val="28"/>
                <w:rtl/>
              </w:rPr>
              <w:t xml:space="preserve"> </w:t>
            </w:r>
            <w:hyperlink r:id="rId38" w:history="1">
              <w:r w:rsidRPr="000A7297">
                <w:rPr>
                  <w:rStyle w:val="Hyperlink"/>
                  <w:rFonts w:ascii="Arial" w:eastAsia="Times New Roman" w:hAnsi="Arial" w:cs="Arial"/>
                  <w:b/>
                  <w:i/>
                  <w:noProof/>
                  <w:sz w:val="28"/>
                  <w:szCs w:val="28"/>
                  <w:rtl/>
                  <w:lang w:val="en-GB"/>
                </w:rPr>
                <w:t>6 تقارير</w:t>
              </w:r>
            </w:hyperlink>
          </w:p>
        </w:tc>
        <w:tc>
          <w:tcPr>
            <w:tcW w:w="5504" w:type="dxa"/>
            <w:vAlign w:val="center"/>
          </w:tcPr>
          <w:p w:rsidR="00536EB8" w:rsidRPr="000A7297" w:rsidRDefault="00536EB8" w:rsidP="00B11A05">
            <w:pPr>
              <w:spacing w:before="120" w:after="120"/>
              <w:rPr>
                <w:rFonts w:ascii="Arial" w:eastAsia="Times New Roman" w:hAnsi="Arial" w:cs="Arial"/>
                <w:sz w:val="28"/>
                <w:szCs w:val="28"/>
              </w:rPr>
            </w:pPr>
            <w:r w:rsidRPr="000A7297">
              <w:rPr>
                <w:rFonts w:ascii="Arial" w:hAnsi="Arial" w:cs="Arial"/>
                <w:noProof/>
                <w:sz w:val="28"/>
                <w:szCs w:val="28"/>
                <w:rtl/>
              </w:rPr>
              <w:t>دراسة تقارير الدول الأطراف عن الوضع الراهن للعناصر المدرجة في قائمة التراث الثقافي غير المادي الذي يحتاج إلى صون عاجل (دورة 2016)</w:t>
            </w:r>
          </w:p>
        </w:tc>
      </w:tr>
      <w:tr w:rsidR="00536EB8" w:rsidRPr="000A7297" w:rsidTr="00873ACB">
        <w:tc>
          <w:tcPr>
            <w:tcW w:w="3636" w:type="dxa"/>
            <w:vAlign w:val="center"/>
          </w:tcPr>
          <w:p w:rsidR="00536EB8" w:rsidRPr="000A7297" w:rsidRDefault="00536EB8" w:rsidP="00B11A05">
            <w:pPr>
              <w:spacing w:before="120" w:after="120"/>
              <w:rPr>
                <w:rFonts w:ascii="Arial" w:hAnsi="Arial" w:cs="Arial"/>
                <w:b/>
                <w:rtl/>
              </w:rPr>
            </w:pPr>
            <w:r w:rsidRPr="000A7297">
              <w:rPr>
                <w:rFonts w:ascii="Arial" w:eastAsia="Times New Roman" w:hAnsi="Arial" w:cs="Arial"/>
                <w:b/>
                <w:lang w:val="en-GB"/>
              </w:rPr>
              <w:t>ITH/17/12.COM/8.b (Rev. English only)</w:t>
            </w:r>
            <w:r w:rsidRPr="000A7297">
              <w:rPr>
                <w:rFonts w:ascii="Arial" w:hAnsi="Arial" w:cs="Arial"/>
                <w:b/>
                <w:rtl/>
              </w:rPr>
              <w:t xml:space="preserve">: </w:t>
            </w:r>
          </w:p>
          <w:p w:rsidR="00536EB8" w:rsidRPr="000A7297" w:rsidRDefault="00E361F7" w:rsidP="00B11A05">
            <w:pPr>
              <w:spacing w:before="120" w:after="120"/>
              <w:rPr>
                <w:rFonts w:ascii="Arial" w:hAnsi="Arial" w:cs="Arial"/>
                <w:sz w:val="28"/>
                <w:szCs w:val="28"/>
                <w:rtl/>
              </w:rPr>
            </w:pPr>
            <w:hyperlink r:id="rId39" w:tgtFrame="_blank" w:history="1">
              <w:r w:rsidR="00536EB8" w:rsidRPr="000A7297">
                <w:rPr>
                  <w:rStyle w:val="Hyperlink"/>
                  <w:rFonts w:ascii="Arial" w:eastAsia="Times New Roman" w:hAnsi="Arial" w:cs="Arial"/>
                  <w:b/>
                  <w:sz w:val="28"/>
                  <w:szCs w:val="28"/>
                  <w:rtl/>
                  <w:lang w:val="en-US"/>
                </w:rPr>
                <w:t>انجليزي</w:t>
              </w:r>
            </w:hyperlink>
            <w:r w:rsidR="00536EB8" w:rsidRPr="000A7297">
              <w:rPr>
                <w:rFonts w:ascii="Arial" w:eastAsia="Times New Roman" w:hAnsi="Arial" w:cs="Arial"/>
                <w:noProof/>
                <w:sz w:val="28"/>
                <w:szCs w:val="28"/>
              </w:rPr>
              <w:t>/</w:t>
            </w:r>
            <w:hyperlink r:id="rId40" w:tgtFrame="_blank" w:history="1">
              <w:r w:rsidR="00536EB8" w:rsidRPr="000A7297">
                <w:rPr>
                  <w:rStyle w:val="Hyperlink"/>
                  <w:rFonts w:ascii="Arial" w:eastAsia="Times New Roman" w:hAnsi="Arial" w:cs="Arial"/>
                  <w:b/>
                  <w:sz w:val="28"/>
                  <w:szCs w:val="28"/>
                  <w:rtl/>
                  <w:lang w:val="en-US"/>
                </w:rPr>
                <w:t>فرنسي</w:t>
              </w:r>
            </w:hyperlink>
          </w:p>
          <w:p w:rsidR="00536EB8" w:rsidRPr="000A7297" w:rsidRDefault="00536EB8" w:rsidP="00B11A05">
            <w:pPr>
              <w:spacing w:before="120" w:after="120"/>
              <w:rPr>
                <w:rFonts w:ascii="Arial" w:eastAsia="Times New Roman" w:hAnsi="Arial" w:cs="Arial"/>
                <w:b/>
                <w:sz w:val="28"/>
                <w:szCs w:val="28"/>
              </w:rPr>
            </w:pPr>
            <w:r w:rsidRPr="000A7297">
              <w:rPr>
                <w:rFonts w:ascii="Arial" w:hAnsi="Arial" w:cs="Arial"/>
                <w:noProof/>
                <w:sz w:val="28"/>
                <w:szCs w:val="28"/>
                <w:rtl/>
              </w:rPr>
              <w:t>انظر التقارير المقدمة:</w:t>
            </w:r>
            <w:r w:rsidRPr="000A7297">
              <w:rPr>
                <w:rFonts w:ascii="Arial" w:hAnsi="Arial" w:cs="Arial"/>
                <w:sz w:val="28"/>
                <w:szCs w:val="28"/>
                <w:rtl/>
              </w:rPr>
              <w:t xml:space="preserve"> </w:t>
            </w:r>
            <w:hyperlink r:id="rId41" w:history="1">
              <w:r w:rsidRPr="000A7297">
                <w:rPr>
                  <w:rStyle w:val="Hyperlink"/>
                  <w:rFonts w:ascii="Arial" w:eastAsia="Times New Roman" w:hAnsi="Arial" w:cs="Arial"/>
                  <w:b/>
                  <w:i/>
                  <w:sz w:val="28"/>
                  <w:szCs w:val="28"/>
                  <w:rtl/>
                  <w:lang w:val="en-US"/>
                </w:rPr>
                <w:t>11 تقرير</w:t>
              </w:r>
            </w:hyperlink>
            <w:r w:rsidRPr="000A7297">
              <w:rPr>
                <w:rStyle w:val="Hyperlink"/>
                <w:rFonts w:ascii="Arial" w:eastAsia="Times New Roman" w:hAnsi="Arial" w:cs="Arial"/>
                <w:b/>
                <w:i/>
                <w:sz w:val="28"/>
                <w:szCs w:val="28"/>
                <w:rtl/>
                <w:lang w:val="en-US"/>
              </w:rPr>
              <w:t>اً</w:t>
            </w:r>
          </w:p>
        </w:tc>
        <w:tc>
          <w:tcPr>
            <w:tcW w:w="5504" w:type="dxa"/>
            <w:vAlign w:val="center"/>
          </w:tcPr>
          <w:p w:rsidR="00536EB8" w:rsidRPr="000A7297" w:rsidRDefault="00536EB8" w:rsidP="00B11A05">
            <w:pPr>
              <w:spacing w:before="120" w:after="120"/>
              <w:rPr>
                <w:rFonts w:ascii="Arial" w:eastAsia="Times New Roman" w:hAnsi="Arial" w:cs="Arial"/>
                <w:sz w:val="28"/>
                <w:szCs w:val="28"/>
              </w:rPr>
            </w:pPr>
            <w:r w:rsidRPr="000A7297">
              <w:rPr>
                <w:rFonts w:ascii="Arial" w:hAnsi="Arial" w:cs="Arial"/>
                <w:noProof/>
                <w:sz w:val="28"/>
                <w:szCs w:val="28"/>
                <w:rtl/>
              </w:rPr>
              <w:t>دراسة تقارير الدول الأطراف عن تطبيق الاتفاقية وعن الوضع الراهن لجميع العناصر المدرجة في القائمة التمثيلية للتراث الثقافي غير المادي للبشرية (دورة 2017)</w:t>
            </w:r>
          </w:p>
        </w:tc>
      </w:tr>
      <w:tr w:rsidR="00536EB8" w:rsidRPr="000A7297" w:rsidTr="00873ACB">
        <w:tc>
          <w:tcPr>
            <w:tcW w:w="3636" w:type="dxa"/>
            <w:vAlign w:val="center"/>
          </w:tcPr>
          <w:p w:rsidR="00536EB8" w:rsidRPr="000A7297" w:rsidRDefault="00536EB8" w:rsidP="00B11A05">
            <w:pPr>
              <w:spacing w:before="120" w:after="120"/>
              <w:rPr>
                <w:rFonts w:ascii="Arial" w:hAnsi="Arial" w:cs="Arial"/>
                <w:b/>
                <w:rtl/>
              </w:rPr>
            </w:pPr>
            <w:r w:rsidRPr="000A7297">
              <w:rPr>
                <w:rFonts w:ascii="Arial" w:eastAsia="Times New Roman" w:hAnsi="Arial" w:cs="Arial"/>
                <w:b/>
              </w:rPr>
              <w:t>ITH/17/12.COM/8.c</w:t>
            </w:r>
            <w:r w:rsidRPr="000A7297">
              <w:rPr>
                <w:rFonts w:ascii="Arial" w:hAnsi="Arial" w:cs="Arial"/>
                <w:b/>
                <w:rtl/>
              </w:rPr>
              <w:t xml:space="preserve">: </w:t>
            </w:r>
          </w:p>
          <w:p w:rsidR="00536EB8" w:rsidRPr="000A7297" w:rsidRDefault="00E361F7" w:rsidP="00B11A05">
            <w:pPr>
              <w:spacing w:before="120" w:after="120"/>
              <w:rPr>
                <w:rFonts w:ascii="Arial" w:hAnsi="Arial" w:cs="Arial"/>
                <w:sz w:val="28"/>
                <w:szCs w:val="28"/>
                <w:rtl/>
              </w:rPr>
            </w:pPr>
            <w:hyperlink r:id="rId42" w:tgtFrame="_blank" w:history="1">
              <w:r w:rsidR="00536EB8" w:rsidRPr="000A7297">
                <w:rPr>
                  <w:rStyle w:val="Hyperlink"/>
                  <w:rFonts w:ascii="Arial" w:eastAsia="Times New Roman" w:hAnsi="Arial" w:cs="Arial"/>
                  <w:b/>
                  <w:sz w:val="28"/>
                  <w:szCs w:val="28"/>
                  <w:rtl/>
                  <w:lang w:val="en-US"/>
                </w:rPr>
                <w:t>انجليزي</w:t>
              </w:r>
            </w:hyperlink>
            <w:r w:rsidR="00536EB8" w:rsidRPr="000A7297">
              <w:rPr>
                <w:rFonts w:ascii="Arial" w:eastAsia="Times New Roman" w:hAnsi="Arial" w:cs="Arial"/>
                <w:noProof/>
                <w:sz w:val="28"/>
                <w:szCs w:val="28"/>
              </w:rPr>
              <w:t>/</w:t>
            </w:r>
            <w:hyperlink r:id="rId43" w:tgtFrame="_blank" w:history="1">
              <w:r w:rsidR="00536EB8" w:rsidRPr="000A7297">
                <w:rPr>
                  <w:rStyle w:val="Hyperlink"/>
                  <w:rFonts w:ascii="Arial" w:eastAsia="Times New Roman" w:hAnsi="Arial" w:cs="Arial"/>
                  <w:b/>
                  <w:sz w:val="28"/>
                  <w:szCs w:val="28"/>
                  <w:rtl/>
                  <w:lang w:val="en-US"/>
                </w:rPr>
                <w:t>فرنسي</w:t>
              </w:r>
            </w:hyperlink>
          </w:p>
          <w:p w:rsidR="00536EB8" w:rsidRPr="000A7297" w:rsidRDefault="00536EB8" w:rsidP="00B11A05">
            <w:pPr>
              <w:spacing w:before="120" w:after="120"/>
              <w:rPr>
                <w:rFonts w:ascii="Arial" w:eastAsia="Times New Roman" w:hAnsi="Arial" w:cs="Arial"/>
                <w:b/>
                <w:sz w:val="28"/>
                <w:szCs w:val="28"/>
              </w:rPr>
            </w:pPr>
            <w:r w:rsidRPr="000A7297">
              <w:rPr>
                <w:rFonts w:ascii="Arial" w:hAnsi="Arial" w:cs="Arial"/>
                <w:noProof/>
                <w:sz w:val="28"/>
                <w:szCs w:val="28"/>
                <w:rtl/>
              </w:rPr>
              <w:t>انظر التقارير المقدمة:</w:t>
            </w:r>
            <w:r w:rsidRPr="000A7297">
              <w:rPr>
                <w:rFonts w:ascii="Arial" w:hAnsi="Arial" w:cs="Arial"/>
                <w:sz w:val="28"/>
                <w:szCs w:val="28"/>
                <w:rtl/>
              </w:rPr>
              <w:t xml:space="preserve"> </w:t>
            </w:r>
            <w:hyperlink r:id="rId44" w:history="1">
              <w:r w:rsidRPr="000A7297">
                <w:rPr>
                  <w:rStyle w:val="Hyperlink"/>
                  <w:rFonts w:ascii="Arial" w:eastAsia="Times New Roman" w:hAnsi="Arial" w:cs="Arial"/>
                  <w:b/>
                  <w:i/>
                  <w:sz w:val="28"/>
                  <w:szCs w:val="28"/>
                  <w:rtl/>
                  <w:lang w:val="en-US"/>
                </w:rPr>
                <w:t>12 تقريراً</w:t>
              </w:r>
            </w:hyperlink>
          </w:p>
        </w:tc>
        <w:tc>
          <w:tcPr>
            <w:tcW w:w="5504" w:type="dxa"/>
            <w:vAlign w:val="center"/>
          </w:tcPr>
          <w:p w:rsidR="00536EB8" w:rsidRPr="000A7297" w:rsidRDefault="00536EB8" w:rsidP="00B11A05">
            <w:pPr>
              <w:spacing w:before="120" w:after="120"/>
              <w:rPr>
                <w:rFonts w:ascii="Arial" w:eastAsia="Times New Roman" w:hAnsi="Arial" w:cs="Arial"/>
                <w:sz w:val="28"/>
                <w:szCs w:val="28"/>
              </w:rPr>
            </w:pPr>
            <w:r w:rsidRPr="000A7297">
              <w:rPr>
                <w:rFonts w:ascii="Arial" w:hAnsi="Arial" w:cs="Arial"/>
                <w:noProof/>
                <w:sz w:val="28"/>
                <w:szCs w:val="28"/>
                <w:rtl/>
              </w:rPr>
              <w:t>دراسة تقارير الدول الأطراف عن الوضع الراهن للعناصر المدرجة في قائمة التراث الثقافي غير المادي الذي يحتاج إلى صون عاجل (دورة 2017)</w:t>
            </w:r>
          </w:p>
        </w:tc>
      </w:tr>
    </w:tbl>
    <w:p w:rsidR="00536EB8" w:rsidRPr="000A7297" w:rsidRDefault="00536EB8" w:rsidP="00C22561">
      <w:pPr>
        <w:pStyle w:val="Marge"/>
        <w:numPr>
          <w:ilvl w:val="0"/>
          <w:numId w:val="14"/>
        </w:numPr>
        <w:spacing w:before="360" w:after="120"/>
        <w:ind w:left="567" w:hanging="567"/>
        <w:rPr>
          <w:rFonts w:eastAsia="Times New Roman" w:cs="Arial"/>
          <w:sz w:val="28"/>
          <w:szCs w:val="28"/>
        </w:rPr>
      </w:pPr>
      <w:r w:rsidRPr="000A7297">
        <w:rPr>
          <w:rFonts w:cs="Arial"/>
          <w:sz w:val="28"/>
          <w:szCs w:val="28"/>
          <w:rtl/>
          <w:lang w:bidi="ar-QA"/>
        </w:rPr>
        <w:lastRenderedPageBreak/>
        <w:t>ولا تزال اللجنة تواجه عدم تقديم الكثير من الدول الأطراف تقاريرها المتوقعة: على سبيل المثال، 44 من أصل 67 تقريراً متوقّعاً لم يتمّ تقديمها بالنسبة لدورة 2017.</w:t>
      </w:r>
    </w:p>
    <w:p w:rsidR="00536EB8" w:rsidRPr="000A7297" w:rsidRDefault="00536EB8" w:rsidP="00C22561">
      <w:pPr>
        <w:keepNext/>
        <w:numPr>
          <w:ilvl w:val="0"/>
          <w:numId w:val="15"/>
        </w:numPr>
        <w:tabs>
          <w:tab w:val="clear" w:pos="720"/>
        </w:tabs>
        <w:spacing w:before="360" w:after="240"/>
        <w:ind w:left="567" w:hanging="567"/>
        <w:rPr>
          <w:rFonts w:ascii="Arial" w:eastAsia="Times New Roman" w:hAnsi="Arial" w:cs="Arial"/>
          <w:b/>
          <w:sz w:val="28"/>
          <w:szCs w:val="28"/>
        </w:rPr>
      </w:pPr>
      <w:r w:rsidRPr="000A7297">
        <w:rPr>
          <w:rFonts w:ascii="Arial" w:hAnsi="Arial" w:cs="Arial"/>
          <w:bCs/>
          <w:sz w:val="28"/>
          <w:szCs w:val="28"/>
          <w:rtl/>
          <w:lang w:bidi="ar-QA"/>
        </w:rPr>
        <w:t>إدراج البنود في قائمتي الاتفاقية، واختيار أفضل ممارسات الصون وتقديم المساعدة الدولية</w:t>
      </w:r>
      <w:r w:rsidRPr="000A7297">
        <w:rPr>
          <w:rFonts w:ascii="Arial" w:hAnsi="Arial" w:cs="Arial"/>
          <w:sz w:val="28"/>
          <w:szCs w:val="28"/>
          <w:rtl/>
          <w:lang w:bidi="ar-QA"/>
        </w:rPr>
        <w:t xml:space="preserve"> (المادة 7 [خ])</w:t>
      </w:r>
    </w:p>
    <w:p w:rsidR="00536EB8" w:rsidRPr="000A7297" w:rsidRDefault="00536EB8" w:rsidP="00C22561">
      <w:pPr>
        <w:pStyle w:val="Marge"/>
        <w:numPr>
          <w:ilvl w:val="0"/>
          <w:numId w:val="14"/>
        </w:numPr>
        <w:spacing w:after="120"/>
        <w:ind w:left="567" w:hanging="567"/>
        <w:rPr>
          <w:rFonts w:eastAsia="Times New Roman" w:cs="Arial"/>
          <w:i/>
          <w:sz w:val="28"/>
          <w:szCs w:val="28"/>
        </w:rPr>
      </w:pPr>
      <w:r w:rsidRPr="000A7297">
        <w:rPr>
          <w:rFonts w:cs="Arial"/>
          <w:sz w:val="28"/>
          <w:szCs w:val="28"/>
          <w:rtl/>
          <w:lang w:bidi="ar-QA"/>
        </w:rPr>
        <w:t>درست اللجنة خلال فترة التقرير 96 ملفاً وأدرجت ما مجموعه 77 عنصراً تراثياً في قائمتي الاتفاقية:</w:t>
      </w:r>
      <w:r w:rsidRPr="000A7297">
        <w:rPr>
          <w:rFonts w:eastAsia="Times New Roman" w:cs="Arial"/>
          <w:sz w:val="28"/>
          <w:szCs w:val="28"/>
        </w:rPr>
        <w:t xml:space="preserve"> </w:t>
      </w:r>
      <w:r w:rsidRPr="000A7297">
        <w:rPr>
          <w:rFonts w:cs="Arial"/>
          <w:sz w:val="28"/>
          <w:szCs w:val="28"/>
          <w:rtl/>
          <w:lang w:bidi="ar-QA"/>
        </w:rPr>
        <w:t>10 عناصر في قائمة التراث الثقافي غير المادي الذي يحتاج إلى صون عاجل و67 عنصراً في القائمة التمثيلية للتراث الثقافي غير المادي للبشرية.</w:t>
      </w:r>
      <w:r w:rsidRPr="000A7297">
        <w:rPr>
          <w:rFonts w:eastAsia="Times New Roman" w:cs="Arial"/>
          <w:sz w:val="28"/>
          <w:szCs w:val="28"/>
        </w:rPr>
        <w:t xml:space="preserve"> </w:t>
      </w:r>
      <w:r w:rsidRPr="000A7297">
        <w:rPr>
          <w:rFonts w:cs="Arial"/>
          <w:sz w:val="28"/>
          <w:szCs w:val="28"/>
          <w:rtl/>
          <w:lang w:bidi="ar-QA"/>
        </w:rPr>
        <w:t>كما اختارت اللجنة خلال فترة التقرير سبع ممارسات من أفضل ممارسات الصون.</w:t>
      </w:r>
      <w:r w:rsidRPr="000A7297">
        <w:rPr>
          <w:rFonts w:eastAsia="Times New Roman" w:cs="Arial"/>
          <w:sz w:val="28"/>
          <w:szCs w:val="28"/>
        </w:rPr>
        <w:t xml:space="preserve"> </w:t>
      </w:r>
      <w:r w:rsidR="00AA1F06" w:rsidRPr="000A7297">
        <w:rPr>
          <w:rFonts w:cs="Arial"/>
          <w:sz w:val="28"/>
          <w:szCs w:val="28"/>
          <w:rtl/>
          <w:lang w:val="en-GB" w:bidi="ar-QA"/>
        </w:rPr>
        <w:t>ول</w:t>
      </w:r>
      <w:r w:rsidRPr="000A7297">
        <w:rPr>
          <w:rFonts w:cs="Arial"/>
          <w:sz w:val="28"/>
          <w:szCs w:val="28"/>
          <w:rtl/>
          <w:lang w:bidi="ar-QA"/>
        </w:rPr>
        <w:t>لمرة الأولى، وافقت اللجنة في دورتها الحادية عشرة على طلب مساعدة دولية تمّت دراسته مع ترشيح إلى قائمة الصون العاجل بهدف دعم تنفيذ الصون المقترح بقيمة 970 238 دولاراً أمريكياً. ووافقت اللجنة خلال دورتها الثانية عشرة على طلبيْ مساعدة دولية بقيمة إجمالية قدرها 940 566 دولاراً أمريكياً. كما فكّرت اللجنة للمرّة الأولى خلال دورتها الثانية عشرة في إزالة عنصر من قائمة الصون العاجل ونقله إلى القائمة التمثيلية.</w:t>
      </w:r>
    </w:p>
    <w:p w:rsidR="00536EB8" w:rsidRPr="000A7297" w:rsidRDefault="00536EB8" w:rsidP="00C22561">
      <w:pPr>
        <w:pStyle w:val="Marge"/>
        <w:numPr>
          <w:ilvl w:val="0"/>
          <w:numId w:val="14"/>
        </w:numPr>
        <w:spacing w:after="120"/>
        <w:ind w:left="567" w:hanging="567"/>
        <w:rPr>
          <w:rFonts w:eastAsia="Times New Roman" w:cs="Arial"/>
          <w:sz w:val="28"/>
          <w:szCs w:val="28"/>
        </w:rPr>
      </w:pPr>
      <w:proofErr w:type="gramStart"/>
      <w:r w:rsidRPr="000A7297">
        <w:rPr>
          <w:rFonts w:cs="Arial"/>
          <w:sz w:val="28"/>
          <w:szCs w:val="28"/>
          <w:rtl/>
          <w:lang w:bidi="ar-QA"/>
        </w:rPr>
        <w:t>اثر</w:t>
      </w:r>
      <w:proofErr w:type="gramEnd"/>
      <w:r w:rsidRPr="000A7297">
        <w:rPr>
          <w:rFonts w:cs="Arial"/>
          <w:sz w:val="28"/>
          <w:szCs w:val="28"/>
          <w:rtl/>
          <w:lang w:bidi="ar-QA"/>
        </w:rPr>
        <w:t xml:space="preserve"> موافقة الجمعية العامة في 2014 على تعديلات التوجيهات التنفيذية بهدف إنشاء "هيئة تقييم" واحدة (تتكوّن من ستة خبراء ممثلين للدول الأطراف غير الأعضاء في اللجنة وستّ منظمات غير حكومية معتمدة)، واصلت اللجنة إنشاء هيئة التقييم خلال دورتيها الحادية عشرة والثانية عشرة وجدّدت ثلاثة مقاعد خلال كلّ دورة.</w:t>
      </w:r>
    </w:p>
    <w:p w:rsidR="00536EB8" w:rsidRPr="000A7297" w:rsidRDefault="00536EB8" w:rsidP="00C22561">
      <w:pPr>
        <w:pStyle w:val="Marge"/>
        <w:numPr>
          <w:ilvl w:val="0"/>
          <w:numId w:val="14"/>
        </w:numPr>
        <w:spacing w:after="120"/>
        <w:ind w:left="567" w:hanging="567"/>
        <w:rPr>
          <w:rFonts w:eastAsia="Times New Roman" w:cs="Arial"/>
          <w:i/>
          <w:sz w:val="28"/>
          <w:szCs w:val="28"/>
        </w:rPr>
      </w:pPr>
      <w:r w:rsidRPr="000A7297">
        <w:rPr>
          <w:rFonts w:cs="Arial"/>
          <w:sz w:val="28"/>
          <w:szCs w:val="28"/>
          <w:rtl/>
          <w:lang w:bidi="ar-QA"/>
        </w:rPr>
        <w:t xml:space="preserve">وبناء على توصية اللجنة بموجب </w:t>
      </w:r>
      <w:hyperlink r:id="rId45" w:history="1">
        <w:r w:rsidRPr="000A7297">
          <w:rPr>
            <w:rStyle w:val="Hyperlink"/>
            <w:rFonts w:cs="Arial"/>
            <w:sz w:val="28"/>
            <w:szCs w:val="28"/>
            <w:rtl/>
          </w:rPr>
          <w:t xml:space="preserve">قرارها </w:t>
        </w:r>
        <w:r w:rsidRPr="000A7297">
          <w:rPr>
            <w:rStyle w:val="Hyperlink"/>
            <w:rFonts w:eastAsia="Times New Roman" w:cs="Arial"/>
            <w:sz w:val="28"/>
            <w:szCs w:val="28"/>
            <w:lang w:bidi="ar-QA"/>
          </w:rPr>
          <w:t>10.COM 15.c</w:t>
        </w:r>
      </w:hyperlink>
      <w:r w:rsidRPr="000A7297">
        <w:rPr>
          <w:rFonts w:cs="Arial"/>
          <w:sz w:val="28"/>
          <w:szCs w:val="28"/>
          <w:rtl/>
          <w:lang w:bidi="ar-QA"/>
        </w:rPr>
        <w:t xml:space="preserve">، وافقت الجمعية العامة في حزيران/يونيو 2016 على تعديلات التوجيهات التنفيذية لزيادة طلبات المساعدة الدولية التي يمكن أن يوافق عليها مكتب اللجنة من 25000 دولار أمريكي إلى 100000 دولار أمريكي. وبناءً على ذلك، وافقت اللجنة (بالنسبة للطلبات التي تتجاوز 100000 دولار أمريكي) أو المكتب (بالنسبة للطلبات التي تصل إلى 100000 دولار أمريكي وطلبات الطوارئ) على ما مجموعه ثمانية عشر طلباً من أصل ثلاثة وعشرين طلباً للمساعدة الدولية بمبلغ إجمالي قدره 1783506 دولاراً أمريكياً خلال فترة التقرير (انظر أيضاً الوثيقة </w:t>
      </w:r>
      <w:hyperlink r:id="rId46" w:history="1">
        <w:r w:rsidRPr="000A7297">
          <w:rPr>
            <w:rStyle w:val="Hyperlink"/>
            <w:rFonts w:eastAsia="Times New Roman" w:cs="Arial"/>
            <w:sz w:val="28"/>
            <w:szCs w:val="28"/>
            <w:lang w:bidi="ar-QA"/>
          </w:rPr>
          <w:t>ITH/17/12.COM/8.a</w:t>
        </w:r>
      </w:hyperlink>
      <w:r w:rsidRPr="000A7297">
        <w:rPr>
          <w:rFonts w:cs="Arial"/>
          <w:sz w:val="28"/>
          <w:szCs w:val="28"/>
          <w:rtl/>
          <w:lang w:bidi="ar-QA"/>
        </w:rPr>
        <w:t xml:space="preserve"> بشأن التقرير المتعلق باستخدام الدول الأطراف للمساعدة الدولية).</w:t>
      </w:r>
      <w:r w:rsidRPr="000A7297">
        <w:rPr>
          <w:rFonts w:eastAsia="Times New Roman" w:cs="Arial"/>
          <w:sz w:val="28"/>
          <w:szCs w:val="28"/>
        </w:rPr>
        <w:t xml:space="preserve"> </w:t>
      </w:r>
      <w:r w:rsidRPr="000A7297">
        <w:rPr>
          <w:rFonts w:cs="Arial"/>
          <w:sz w:val="28"/>
          <w:szCs w:val="28"/>
          <w:rtl/>
          <w:lang w:bidi="ar-QA"/>
        </w:rPr>
        <w:t>وتلقى 13 بلداً مساعدات مالية من الصندوق خلال تلك الفترة.</w:t>
      </w:r>
    </w:p>
    <w:p w:rsidR="00536EB8" w:rsidRPr="000A7297" w:rsidRDefault="00536EB8" w:rsidP="00C22561">
      <w:pPr>
        <w:pStyle w:val="Marge"/>
        <w:numPr>
          <w:ilvl w:val="0"/>
          <w:numId w:val="14"/>
        </w:numPr>
        <w:spacing w:after="120"/>
        <w:ind w:left="567" w:hanging="567"/>
        <w:rPr>
          <w:rFonts w:eastAsia="Times New Roman" w:cs="Arial"/>
          <w:sz w:val="28"/>
          <w:szCs w:val="28"/>
        </w:rPr>
      </w:pPr>
      <w:r w:rsidRPr="000A7297">
        <w:rPr>
          <w:rFonts w:cs="Arial"/>
          <w:b/>
          <w:sz w:val="28"/>
          <w:szCs w:val="28"/>
          <w:rtl/>
          <w:lang w:bidi="ar-QA"/>
        </w:rPr>
        <w:t xml:space="preserve">خلال الدورة الحادية عشرة للجنة، أعرب عدد من الدول الأعضاء وغير </w:t>
      </w:r>
      <w:r w:rsidR="00AA1F06" w:rsidRPr="000A7297">
        <w:rPr>
          <w:rFonts w:cs="Arial"/>
          <w:b/>
          <w:sz w:val="28"/>
          <w:szCs w:val="28"/>
          <w:rtl/>
          <w:lang w:bidi="ar-QA"/>
        </w:rPr>
        <w:t>ال</w:t>
      </w:r>
      <w:r w:rsidRPr="000A7297">
        <w:rPr>
          <w:rFonts w:cs="Arial"/>
          <w:b/>
          <w:sz w:val="28"/>
          <w:szCs w:val="28"/>
          <w:rtl/>
          <w:lang w:bidi="ar-QA"/>
        </w:rPr>
        <w:t>أعضاء في اللجنة عن قلقهم بشأن اتخاذ القرارات فيما يتعلق بعملية التسجيل/الاختيار ولا سيما بشأن العدد الهائل من حالات التراجع (71 في المائة - 17 من أصل 24) عن توصيات هيئة التقييم.</w:t>
      </w:r>
      <w:r w:rsidRPr="000A7297">
        <w:rPr>
          <w:rFonts w:cs="Arial"/>
          <w:bCs/>
          <w:sz w:val="28"/>
          <w:szCs w:val="28"/>
          <w:rtl/>
          <w:lang w:bidi="ar-QA"/>
        </w:rPr>
        <w:t xml:space="preserve"> </w:t>
      </w:r>
      <w:r w:rsidRPr="000A7297">
        <w:rPr>
          <w:rFonts w:cs="Arial"/>
          <w:sz w:val="28"/>
          <w:szCs w:val="28"/>
          <w:rtl/>
          <w:lang w:bidi="ar-QA"/>
        </w:rPr>
        <w:t>واستجابة لتلك الشواغل، أنشأت اللجنة فريقاً عاملاً مخصصاً غير رسمي "لدراسة القضايا المتعلقة بالتشاور والحوار بين هيئة التقييم والدول المقدمة للطلب وعملية اتخاذ القرار في اللجنة فيما يتعلق بالترشيحات والاقتراحات والطلبات".</w:t>
      </w:r>
      <w:r w:rsidRPr="000A7297">
        <w:rPr>
          <w:rFonts w:eastAsia="Times New Roman" w:cs="Arial"/>
          <w:sz w:val="28"/>
          <w:szCs w:val="28"/>
        </w:rPr>
        <w:t xml:space="preserve"> </w:t>
      </w:r>
      <w:r w:rsidRPr="000A7297">
        <w:rPr>
          <w:rFonts w:cs="Arial"/>
          <w:sz w:val="28"/>
          <w:szCs w:val="28"/>
          <w:rtl/>
          <w:lang w:bidi="ar-QA"/>
        </w:rPr>
        <w:t>كما طُلب من الأمانة "اقتراح إجراء، إلى الدورة المقبلة للجنة، يتضمن خطوة وسيطة في تقييم الملفات، مما يسمح للدول المقدمة بالاستجابة للتوصيات الأولية التي سبق أن وجّهتها هيئة التقييم إلى الأمانة (</w:t>
      </w:r>
      <w:hyperlink r:id="rId47" w:history="1">
        <w:r w:rsidRPr="000A7297">
          <w:rPr>
            <w:rStyle w:val="Hyperlink"/>
            <w:rFonts w:cs="Arial"/>
            <w:sz w:val="28"/>
            <w:szCs w:val="28"/>
            <w:rtl/>
          </w:rPr>
          <w:t xml:space="preserve">القرار </w:t>
        </w:r>
        <w:r w:rsidRPr="000A7297">
          <w:rPr>
            <w:rStyle w:val="Hyperlink"/>
            <w:rFonts w:eastAsia="Times New Roman" w:cs="Arial"/>
            <w:sz w:val="28"/>
            <w:szCs w:val="28"/>
            <w:lang w:bidi="ar-QA"/>
          </w:rPr>
          <w:t>11.COM 10</w:t>
        </w:r>
      </w:hyperlink>
      <w:r w:rsidRPr="000A7297">
        <w:rPr>
          <w:rFonts w:cs="Arial"/>
          <w:sz w:val="28"/>
          <w:szCs w:val="28"/>
          <w:rtl/>
          <w:lang w:bidi="ar-QA"/>
        </w:rPr>
        <w:t>).</w:t>
      </w:r>
      <w:r w:rsidRPr="000A7297">
        <w:rPr>
          <w:rFonts w:eastAsia="Times New Roman" w:cs="Arial"/>
          <w:sz w:val="28"/>
          <w:szCs w:val="28"/>
        </w:rPr>
        <w:t xml:space="preserve"> </w:t>
      </w:r>
      <w:r w:rsidRPr="000A7297">
        <w:rPr>
          <w:rFonts w:cs="Arial"/>
          <w:sz w:val="28"/>
          <w:szCs w:val="28"/>
          <w:rtl/>
          <w:lang w:bidi="ar-QA"/>
        </w:rPr>
        <w:t xml:space="preserve">واجتمع الفريق خمس مرات خلال فترة التقرير: في </w:t>
      </w:r>
      <w:proofErr w:type="gramStart"/>
      <w:r w:rsidRPr="000A7297">
        <w:rPr>
          <w:rFonts w:cs="Arial"/>
          <w:sz w:val="28"/>
          <w:szCs w:val="28"/>
          <w:rtl/>
          <w:lang w:bidi="ar-QA"/>
        </w:rPr>
        <w:t>ثلاث اجتماعات</w:t>
      </w:r>
      <w:proofErr w:type="gramEnd"/>
      <w:r w:rsidRPr="000A7297">
        <w:rPr>
          <w:rFonts w:cs="Arial"/>
          <w:sz w:val="28"/>
          <w:szCs w:val="28"/>
          <w:rtl/>
          <w:lang w:bidi="ar-QA"/>
        </w:rPr>
        <w:t xml:space="preserve"> مع الدول الأعضاء في اللجنة وفي اجتماعين مفتوحين. وفي أحد الاجتماعات، تشاور أعضاء اللجنة في الفريق العامل المخصص مع أعضاء هيئة التقييم.</w:t>
      </w:r>
      <w:r w:rsidRPr="000A7297">
        <w:rPr>
          <w:rFonts w:eastAsia="Times New Roman" w:cs="Arial"/>
          <w:sz w:val="28"/>
          <w:szCs w:val="28"/>
        </w:rPr>
        <w:t xml:space="preserve"> </w:t>
      </w:r>
      <w:r w:rsidRPr="000A7297">
        <w:rPr>
          <w:rFonts w:cs="Arial"/>
          <w:sz w:val="28"/>
          <w:szCs w:val="28"/>
          <w:rtl/>
        </w:rPr>
        <w:t>و</w:t>
      </w:r>
      <w:r w:rsidRPr="000A7297">
        <w:rPr>
          <w:rFonts w:cs="Arial"/>
          <w:sz w:val="28"/>
          <w:szCs w:val="28"/>
          <w:rtl/>
          <w:lang w:bidi="ar-QA"/>
        </w:rPr>
        <w:t xml:space="preserve">يمكن الاطلاع على عرض مفصّل لنتائج الاجتماع وعلى مقترح الأمانة في الوثائق ذات الصلة </w:t>
      </w:r>
      <w:hyperlink r:id="rId48" w:history="1">
        <w:r w:rsidRPr="000A7297">
          <w:rPr>
            <w:rStyle w:val="Hyperlink"/>
            <w:rFonts w:eastAsia="Times New Roman" w:cs="Arial"/>
            <w:sz w:val="28"/>
            <w:szCs w:val="28"/>
            <w:lang w:bidi="ar-QA"/>
          </w:rPr>
          <w:t>ITH/17/12.COM/13</w:t>
        </w:r>
      </w:hyperlink>
      <w:r w:rsidRPr="000A7297">
        <w:rPr>
          <w:rFonts w:cs="Arial"/>
          <w:sz w:val="28"/>
          <w:szCs w:val="28"/>
          <w:rtl/>
          <w:lang w:bidi="ar-QA"/>
        </w:rPr>
        <w:t xml:space="preserve"> و </w:t>
      </w:r>
      <w:hyperlink r:id="rId49" w:history="1">
        <w:r w:rsidRPr="000A7297">
          <w:rPr>
            <w:rStyle w:val="Hyperlink"/>
            <w:rFonts w:eastAsia="Times New Roman" w:cs="Arial"/>
            <w:sz w:val="28"/>
            <w:szCs w:val="28"/>
            <w:lang w:bidi="ar-QA"/>
          </w:rPr>
          <w:t>ITH/17/12.COM/12</w:t>
        </w:r>
      </w:hyperlink>
      <w:r w:rsidRPr="000A7297">
        <w:rPr>
          <w:rFonts w:cs="Arial"/>
          <w:sz w:val="28"/>
          <w:szCs w:val="28"/>
          <w:rtl/>
          <w:lang w:bidi="ar-QA"/>
        </w:rPr>
        <w:t xml:space="preserve"> على التوالي.</w:t>
      </w:r>
    </w:p>
    <w:p w:rsidR="00536EB8" w:rsidRPr="000A7297" w:rsidRDefault="00536EB8" w:rsidP="00C22561">
      <w:pPr>
        <w:pStyle w:val="Marge"/>
        <w:numPr>
          <w:ilvl w:val="0"/>
          <w:numId w:val="14"/>
        </w:numPr>
        <w:spacing w:after="120"/>
        <w:ind w:left="567" w:hanging="567"/>
        <w:rPr>
          <w:rFonts w:eastAsia="Times New Roman" w:cs="Arial"/>
          <w:sz w:val="28"/>
          <w:szCs w:val="28"/>
        </w:rPr>
      </w:pPr>
      <w:r w:rsidRPr="000A7297">
        <w:rPr>
          <w:rFonts w:cs="Arial"/>
          <w:sz w:val="28"/>
          <w:szCs w:val="28"/>
          <w:rtl/>
          <w:lang w:bidi="ar-QA"/>
        </w:rPr>
        <w:t>استجابة لشواغل الدول الأطراف نفسها، اقترحت هيئة التقييم بالنسبة لدورة 2018 خيارات مزدوجة للتوصية بشأن تسعة ملفات اعتبرت أنها تفتقر إلى معلومات تقنية بسيطة.</w:t>
      </w:r>
      <w:r w:rsidRPr="000A7297">
        <w:rPr>
          <w:rFonts w:eastAsia="Times New Roman" w:cs="Arial"/>
          <w:sz w:val="28"/>
          <w:szCs w:val="28"/>
        </w:rPr>
        <w:t xml:space="preserve"> </w:t>
      </w:r>
      <w:r w:rsidRPr="000A7297">
        <w:rPr>
          <w:rFonts w:cs="Arial"/>
          <w:sz w:val="28"/>
          <w:szCs w:val="28"/>
          <w:rtl/>
          <w:lang w:bidi="ar-QA"/>
        </w:rPr>
        <w:t>وقد مكّن هذا النهج الجديد اللجنة، خلال دورتها الثانية عشرة، من تلقي هذه المعلومات الناقصة من الدول المقدمة، مما سمح بتسجيل جميع هذه العناصر التسعة.</w:t>
      </w:r>
      <w:r w:rsidRPr="000A7297">
        <w:rPr>
          <w:rFonts w:eastAsia="Times New Roman" w:cs="Arial"/>
          <w:sz w:val="28"/>
          <w:szCs w:val="28"/>
        </w:rPr>
        <w:t xml:space="preserve"> </w:t>
      </w:r>
      <w:r w:rsidRPr="000A7297">
        <w:rPr>
          <w:rFonts w:cs="Arial"/>
          <w:sz w:val="28"/>
          <w:szCs w:val="28"/>
          <w:rtl/>
          <w:lang w:bidi="ar-QA"/>
        </w:rPr>
        <w:t>إجمالاً، قررت اللجنة في دورتها الثانية عشرة تسجيل 44 من أصل 49 ترشيحاً تمّ تقييمها من قبل هيئة التقييم وألغت توصية هيئة التقييم بشأن ثلاثة ترشيحات فقط.</w:t>
      </w:r>
    </w:p>
    <w:p w:rsidR="00536EB8" w:rsidRPr="000A7297" w:rsidRDefault="00536EB8" w:rsidP="00C22561">
      <w:pPr>
        <w:pStyle w:val="Marge"/>
        <w:numPr>
          <w:ilvl w:val="0"/>
          <w:numId w:val="14"/>
        </w:numPr>
        <w:spacing w:after="120"/>
        <w:ind w:left="567" w:hanging="567"/>
        <w:rPr>
          <w:rFonts w:eastAsia="Times New Roman" w:cs="Arial"/>
          <w:sz w:val="28"/>
          <w:szCs w:val="28"/>
        </w:rPr>
      </w:pPr>
      <w:r w:rsidRPr="000A7297">
        <w:rPr>
          <w:rFonts w:cs="Arial"/>
          <w:sz w:val="28"/>
          <w:szCs w:val="28"/>
          <w:rtl/>
          <w:lang w:bidi="ar-QA"/>
        </w:rPr>
        <w:lastRenderedPageBreak/>
        <w:t xml:space="preserve">قررت اللجنة خلال دورتها الثانية عشرة تمديد ولاية الفريق العامل المخصص غير الرسمي استناداً لآراء هيئة التقييم. ويُطلب من الفريق العامل دراسة عدد من المسائل المتعلقة </w:t>
      </w:r>
      <w:proofErr w:type="spellStart"/>
      <w:r w:rsidRPr="000A7297">
        <w:rPr>
          <w:rFonts w:cs="Arial"/>
          <w:sz w:val="28"/>
          <w:szCs w:val="28"/>
          <w:rtl/>
          <w:lang w:bidi="ar-QA"/>
        </w:rPr>
        <w:t>بحوكمة</w:t>
      </w:r>
      <w:proofErr w:type="spellEnd"/>
      <w:r w:rsidRPr="000A7297">
        <w:rPr>
          <w:rFonts w:cs="Arial"/>
          <w:sz w:val="28"/>
          <w:szCs w:val="28"/>
          <w:rtl/>
          <w:lang w:bidi="ar-QA"/>
        </w:rPr>
        <w:t xml:space="preserve"> الاتفاقية.</w:t>
      </w:r>
    </w:p>
    <w:p w:rsidR="00536EB8" w:rsidRPr="000A7297" w:rsidRDefault="00536EB8" w:rsidP="00B11A05">
      <w:pPr>
        <w:pStyle w:val="Marge"/>
        <w:numPr>
          <w:ilvl w:val="0"/>
          <w:numId w:val="14"/>
        </w:numPr>
        <w:spacing w:after="120"/>
        <w:ind w:left="567" w:hanging="567"/>
        <w:rPr>
          <w:rFonts w:cs="Arial"/>
          <w:sz w:val="28"/>
          <w:szCs w:val="28"/>
        </w:rPr>
      </w:pPr>
      <w:r w:rsidRPr="000A7297">
        <w:rPr>
          <w:rFonts w:cs="Arial"/>
          <w:sz w:val="28"/>
          <w:szCs w:val="28"/>
          <w:rtl/>
          <w:lang w:bidi="ar-QA"/>
        </w:rPr>
        <w:t>كما أعرب المراجع الخارجي في تقريره عن قطاع الثقافة المقدم إلى المجلس التنفيذي في دورته 202 عن قلقه بشأن إلغاء توصيات هيئة التقييم فيما يخص الترشيحات والاقتراحات والطلبات.</w:t>
      </w:r>
      <w:r w:rsidRPr="000A7297">
        <w:rPr>
          <w:rFonts w:eastAsia="Times New Roman" w:cs="Arial"/>
          <w:sz w:val="28"/>
          <w:szCs w:val="28"/>
        </w:rPr>
        <w:t xml:space="preserve"> </w:t>
      </w:r>
      <w:r w:rsidRPr="000A7297">
        <w:rPr>
          <w:rFonts w:cs="Arial"/>
          <w:sz w:val="28"/>
          <w:szCs w:val="28"/>
          <w:rtl/>
          <w:lang w:bidi="ar-QA"/>
        </w:rPr>
        <w:t>وأوصى التقرير بإبلاغ المجلس التنفيذي لليونسكو بالمعلومات عن التسجيلات الناتجة عن هذه الحالة (التوصية رقم 13).</w:t>
      </w:r>
      <w:r w:rsidRPr="000A7297">
        <w:rPr>
          <w:rFonts w:eastAsia="Times New Roman" w:cs="Arial"/>
          <w:sz w:val="28"/>
          <w:szCs w:val="28"/>
        </w:rPr>
        <w:t xml:space="preserve"> </w:t>
      </w:r>
      <w:r w:rsidRPr="000A7297">
        <w:rPr>
          <w:rFonts w:cs="Arial"/>
          <w:sz w:val="28"/>
          <w:szCs w:val="28"/>
          <w:rtl/>
          <w:lang w:bidi="ar-QA"/>
        </w:rPr>
        <w:t>ووفقًا لهذه التوصية، تتضمّن هذه الوثيقة المعلومات المعنية للمرة الأولى.</w:t>
      </w:r>
      <w:r w:rsidRPr="000A7297">
        <w:rPr>
          <w:rFonts w:eastAsia="Times New Roman" w:cs="Arial"/>
          <w:sz w:val="28"/>
          <w:szCs w:val="28"/>
        </w:rPr>
        <w:t xml:space="preserve"> </w:t>
      </w:r>
      <w:r w:rsidRPr="000A7297">
        <w:rPr>
          <w:rFonts w:cs="Arial"/>
          <w:sz w:val="28"/>
          <w:szCs w:val="28"/>
          <w:rtl/>
          <w:lang w:bidi="ar-QA"/>
        </w:rPr>
        <w:t>ورغم أنّ هذه الوثيقة لن تحال إلى المجلس التنفيذي، إلاّ أنّها ستُحال إلى المؤتمر العام لليونسكو.</w:t>
      </w:r>
      <w:r w:rsidR="00B11A05" w:rsidRPr="000A7297">
        <w:rPr>
          <w:rFonts w:cs="Arial"/>
          <w:sz w:val="28"/>
          <w:szCs w:val="28"/>
        </w:rPr>
        <w:t xml:space="preserve"> </w:t>
      </w:r>
    </w:p>
    <w:sectPr w:rsidR="00536EB8" w:rsidRPr="000A7297" w:rsidSect="0018093B">
      <w:headerReference w:type="even" r:id="rId50"/>
      <w:headerReference w:type="default" r:id="rId51"/>
      <w:headerReference w:type="first" r:id="rId5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6E" w:rsidRDefault="00E1166E" w:rsidP="0018093B">
      <w:r>
        <w:rPr>
          <w:rtl/>
        </w:rPr>
        <w:separator/>
      </w:r>
    </w:p>
  </w:endnote>
  <w:endnote w:type="continuationSeparator" w:id="0">
    <w:p w:rsidR="00E1166E" w:rsidRDefault="00E1166E" w:rsidP="0018093B">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6E" w:rsidRDefault="00E1166E" w:rsidP="0018093B">
      <w:r>
        <w:rPr>
          <w:rtl/>
        </w:rPr>
        <w:separator/>
      </w:r>
    </w:p>
  </w:footnote>
  <w:footnote w:type="continuationSeparator" w:id="0">
    <w:p w:rsidR="00E1166E" w:rsidRDefault="00E1166E" w:rsidP="0018093B">
      <w:r>
        <w:rPr>
          <w:rtl/>
        </w:rPr>
        <w:continuationSeparator/>
      </w:r>
    </w:p>
  </w:footnote>
  <w:footnote w:id="1">
    <w:p w:rsidR="00536EB8" w:rsidRPr="004D5520" w:rsidRDefault="000A7297" w:rsidP="000A7297">
      <w:pPr>
        <w:pStyle w:val="FootnoteText"/>
        <w:bidi/>
        <w:ind w:left="566" w:hanging="566"/>
        <w:rPr>
          <w:rFonts w:cs="Arial"/>
          <w:sz w:val="22"/>
          <w:szCs w:val="22"/>
          <w:rtl/>
          <w:lang w:bidi="ar-TN"/>
        </w:rPr>
      </w:pPr>
      <w:r w:rsidRPr="004D5520">
        <w:rPr>
          <w:rFonts w:eastAsia="Times New Roman" w:cs="Arial"/>
          <w:sz w:val="22"/>
          <w:szCs w:val="22"/>
          <w:lang w:bidi="ar-TN"/>
        </w:rPr>
        <w:t>.</w:t>
      </w:r>
      <w:r w:rsidR="00536EB8" w:rsidRPr="004D5520">
        <w:rPr>
          <w:rStyle w:val="FootnoteReference"/>
          <w:rFonts w:eastAsia="Times New Roman" w:cs="Arial"/>
          <w:sz w:val="22"/>
          <w:szCs w:val="22"/>
          <w:vertAlign w:val="baseline"/>
        </w:rPr>
        <w:footnoteRef/>
      </w:r>
      <w:r w:rsidRPr="004D5520">
        <w:rPr>
          <w:rFonts w:eastAsia="Times New Roman" w:cs="Arial"/>
          <w:sz w:val="22"/>
          <w:szCs w:val="22"/>
          <w:lang w:bidi="ar-TN"/>
        </w:rPr>
        <w:tab/>
      </w:r>
      <w:r w:rsidR="004222E7" w:rsidRPr="004D5520">
        <w:rPr>
          <w:rFonts w:eastAsia="Times New Roman" w:cs="Arial"/>
          <w:sz w:val="22"/>
          <w:szCs w:val="22"/>
          <w:rtl/>
          <w:lang w:bidi="ar-TN"/>
        </w:rPr>
        <w:t xml:space="preserve">لمزيد من التفاصيل حول النواتج والمؤشرات، يرجى الرجوع إلى الوثيقة </w:t>
      </w:r>
      <w:hyperlink r:id="rId1" w:history="1">
        <w:r w:rsidR="004222E7" w:rsidRPr="004D5520">
          <w:rPr>
            <w:rStyle w:val="Hyperlink"/>
            <w:rFonts w:cs="Arial"/>
            <w:sz w:val="22"/>
            <w:szCs w:val="22"/>
            <w:lang w:val="en-US"/>
          </w:rPr>
          <w:t>ITH/16/11.COM 2.BUR/1</w:t>
        </w:r>
      </w:hyperlink>
      <w:r w:rsidR="004222E7" w:rsidRPr="004D5520">
        <w:rPr>
          <w:rFonts w:cs="Arial"/>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B8" w:rsidRPr="00F64BEB" w:rsidRDefault="00536EB8" w:rsidP="001237E5">
    <w:pPr>
      <w:pStyle w:val="Header"/>
      <w:rPr>
        <w:rFonts w:ascii="Arial" w:hAnsi="Arial" w:cs="Arial"/>
      </w:rPr>
    </w:pPr>
    <w:r w:rsidRPr="000A7297">
      <w:rPr>
        <w:rFonts w:ascii="Arial" w:eastAsia="Times New Roman" w:hAnsi="Arial" w:cs="Arial"/>
        <w:bCs/>
        <w:lang w:val="en-US"/>
      </w:rPr>
      <w:t>ITH/18/7.GA/5</w:t>
    </w:r>
    <w:r w:rsidRPr="000A7297">
      <w:rPr>
        <w:rFonts w:ascii="Arial" w:hAnsi="Arial" w:cs="Arial"/>
        <w:bCs/>
        <w:rtl/>
      </w:rPr>
      <w:t xml:space="preserve"> </w:t>
    </w:r>
    <w:r w:rsidRPr="00F64BEB">
      <w:rPr>
        <w:rFonts w:ascii="Arial" w:hAnsi="Arial" w:cs="Arial"/>
        <w:rtl/>
      </w:rPr>
      <w:t xml:space="preserve">– صفحة </w:t>
    </w:r>
    <w:r w:rsidR="00D43DB2" w:rsidRPr="00F64BEB">
      <w:rPr>
        <w:rStyle w:val="PageNumber"/>
        <w:rFonts w:ascii="Arial" w:hAnsi="Arial" w:cs="Arial"/>
      </w:rPr>
      <w:fldChar w:fldCharType="begin"/>
    </w:r>
    <w:r w:rsidRPr="000A7297">
      <w:rPr>
        <w:rStyle w:val="PageNumber"/>
        <w:rFonts w:ascii="Arial" w:hAnsi="Arial" w:cs="Arial"/>
      </w:rPr>
      <w:instrText xml:space="preserve"> PAGE </w:instrText>
    </w:r>
    <w:r w:rsidR="00D43DB2" w:rsidRPr="00F64BEB">
      <w:rPr>
        <w:rStyle w:val="PageNumber"/>
        <w:rFonts w:ascii="Arial" w:hAnsi="Arial" w:cs="Arial"/>
      </w:rPr>
      <w:fldChar w:fldCharType="separate"/>
    </w:r>
    <w:r w:rsidR="00E361F7">
      <w:rPr>
        <w:rStyle w:val="PageNumber"/>
        <w:rFonts w:ascii="Arial" w:hAnsi="Arial" w:cs="Arial"/>
        <w:noProof/>
        <w:rtl/>
      </w:rPr>
      <w:t>8</w:t>
    </w:r>
    <w:r w:rsidR="00D43DB2" w:rsidRPr="00F64BE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B8" w:rsidRPr="0063300C" w:rsidRDefault="000A7297" w:rsidP="0018093B">
    <w:pPr>
      <w:pStyle w:val="Header"/>
      <w:jc w:val="right"/>
      <w:rPr>
        <w:rFonts w:ascii="Arial" w:hAnsi="Arial" w:cs="Arial"/>
      </w:rPr>
    </w:pPr>
    <w:r>
      <w:rPr>
        <w:rFonts w:ascii="Arial" w:hAnsi="Arial" w:cs="Arial"/>
      </w:rPr>
      <w:t>ITH/18/7.GA/5</w:t>
    </w:r>
    <w:r w:rsidR="00536EB8">
      <w:rPr>
        <w:rFonts w:ascii="Arial" w:hAnsi="Arial" w:cs="Arial"/>
        <w:rtl/>
      </w:rPr>
      <w:t xml:space="preserve"> – صفحة </w:t>
    </w:r>
    <w:r w:rsidR="00D43DB2">
      <w:rPr>
        <w:rStyle w:val="PageNumber"/>
        <w:rFonts w:ascii="Arial" w:hAnsi="Arial" w:cs="Arial"/>
      </w:rPr>
      <w:fldChar w:fldCharType="begin"/>
    </w:r>
    <w:r w:rsidR="00536EB8">
      <w:rPr>
        <w:rStyle w:val="PageNumber"/>
        <w:rFonts w:ascii="Arial" w:hAnsi="Arial" w:cs="Arial"/>
      </w:rPr>
      <w:instrText xml:space="preserve"> PAGE </w:instrText>
    </w:r>
    <w:r w:rsidR="00D43DB2">
      <w:rPr>
        <w:rStyle w:val="PageNumber"/>
        <w:rFonts w:ascii="Arial" w:hAnsi="Arial" w:cs="Arial"/>
      </w:rPr>
      <w:fldChar w:fldCharType="separate"/>
    </w:r>
    <w:r w:rsidR="00E361F7">
      <w:rPr>
        <w:rStyle w:val="PageNumber"/>
        <w:rFonts w:ascii="Arial" w:hAnsi="Arial" w:cs="Arial"/>
        <w:noProof/>
        <w:rtl/>
      </w:rPr>
      <w:t>7</w:t>
    </w:r>
    <w:r w:rsidR="00D43DB2">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B8" w:rsidRPr="008724E5" w:rsidRDefault="00A31F93">
    <w:pPr>
      <w:pStyle w:val="Header"/>
    </w:pPr>
    <w:r>
      <w:rPr>
        <w:noProof/>
        <w:lang w:val="en-US" w:eastAsia="ko-KR"/>
      </w:rPr>
      <w:drawing>
        <wp:anchor distT="0" distB="0" distL="114300" distR="114300" simplePos="0" relativeHeight="251657728" behindDoc="0" locked="0" layoutInCell="1" allowOverlap="1">
          <wp:simplePos x="0" y="0"/>
          <wp:positionH relativeFrom="page">
            <wp:posOffset>4820920</wp:posOffset>
          </wp:positionH>
          <wp:positionV relativeFrom="page">
            <wp:posOffset>215900</wp:posOffset>
          </wp:positionV>
          <wp:extent cx="2552400" cy="1454400"/>
          <wp:effectExtent l="0" t="0" r="635" b="0"/>
          <wp:wrapNone/>
          <wp:docPr id="1"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sco_logo_ar"/>
                  <pic:cNvPicPr>
                    <a:picLocks noChangeAspect="1" noChangeArrowheads="1"/>
                  </pic:cNvPicPr>
                </pic:nvPicPr>
                <pic:blipFill>
                  <a:blip r:embed="rId1"/>
                  <a:srcRect/>
                  <a:stretch>
                    <a:fillRect/>
                  </a:stretch>
                </pic:blipFill>
                <pic:spPr bwMode="auto">
                  <a:xfrm>
                    <a:off x="0" y="0"/>
                    <a:ext cx="2552400" cy="1454400"/>
                  </a:xfrm>
                  <a:prstGeom prst="rect">
                    <a:avLst/>
                  </a:prstGeom>
                  <a:noFill/>
                </pic:spPr>
              </pic:pic>
            </a:graphicData>
          </a:graphic>
          <wp14:sizeRelH relativeFrom="margin">
            <wp14:pctWidth>0</wp14:pctWidth>
          </wp14:sizeRelH>
          <wp14:sizeRelV relativeFrom="margin">
            <wp14:pctHeight>0</wp14:pctHeight>
          </wp14:sizeRelV>
        </wp:anchor>
      </w:drawing>
    </w:r>
  </w:p>
  <w:p w:rsidR="00536EB8" w:rsidRPr="00427316" w:rsidRDefault="00536EB8" w:rsidP="0018093B">
    <w:pPr>
      <w:pStyle w:val="Header"/>
      <w:spacing w:after="520"/>
      <w:jc w:val="right"/>
      <w:rPr>
        <w:rFonts w:ascii="Arial" w:hAnsi="Arial" w:cs="Arial"/>
        <w:b/>
        <w:sz w:val="44"/>
        <w:szCs w:val="44"/>
        <w:lang w:val="en-US"/>
      </w:rPr>
    </w:pPr>
    <w:r>
      <w:rPr>
        <w:rFonts w:ascii="Arial" w:hAnsi="Arial" w:cs="Arial"/>
        <w:b/>
        <w:sz w:val="44"/>
        <w:szCs w:val="44"/>
        <w:lang w:val="en-US"/>
      </w:rPr>
      <w:t>7</w:t>
    </w:r>
    <w:r w:rsidRPr="00427316">
      <w:rPr>
        <w:rFonts w:ascii="Arial" w:hAnsi="Arial" w:cs="Arial"/>
        <w:b/>
        <w:sz w:val="44"/>
        <w:szCs w:val="44"/>
        <w:lang w:val="en-US"/>
      </w:rPr>
      <w:t>GA</w:t>
    </w:r>
  </w:p>
  <w:p w:rsidR="00536EB8" w:rsidRPr="000A7297" w:rsidRDefault="00536EB8" w:rsidP="001237E5">
    <w:pPr>
      <w:jc w:val="right"/>
      <w:rPr>
        <w:rFonts w:ascii="Arial" w:hAnsi="Arial" w:cs="Arial"/>
        <w:b/>
        <w:sz w:val="28"/>
        <w:szCs w:val="28"/>
        <w:lang w:val="en-US"/>
      </w:rPr>
    </w:pPr>
    <w:r w:rsidRPr="000A7297">
      <w:rPr>
        <w:rFonts w:ascii="Arial" w:eastAsia="Times New Roman" w:hAnsi="Arial" w:cs="Arial"/>
        <w:b/>
        <w:sz w:val="28"/>
        <w:szCs w:val="32"/>
        <w:lang w:val="en-US"/>
      </w:rPr>
      <w:t>ITH/18/7.GA/5</w:t>
    </w:r>
  </w:p>
  <w:p w:rsidR="00536EB8" w:rsidRPr="000A7297" w:rsidRDefault="00536EB8" w:rsidP="00590BF9">
    <w:pPr>
      <w:jc w:val="right"/>
      <w:rPr>
        <w:rFonts w:ascii="Arial" w:hAnsi="Arial" w:cs="Arial"/>
        <w:b/>
        <w:sz w:val="28"/>
        <w:szCs w:val="28"/>
        <w:lang w:val="en-US"/>
      </w:rPr>
    </w:pPr>
    <w:r w:rsidRPr="000A7297">
      <w:rPr>
        <w:rFonts w:ascii="Arial" w:hAnsi="Arial" w:cs="Arial"/>
        <w:bCs/>
        <w:sz w:val="28"/>
        <w:szCs w:val="28"/>
        <w:rtl/>
      </w:rPr>
      <w:t>باريس،</w:t>
    </w:r>
    <w:r w:rsidRPr="000A7297">
      <w:rPr>
        <w:rFonts w:ascii="Arial" w:hAnsi="Arial" w:cs="Arial"/>
        <w:b/>
        <w:sz w:val="28"/>
        <w:szCs w:val="28"/>
        <w:lang w:val="en-US"/>
      </w:rPr>
      <w:t>2018/</w:t>
    </w:r>
    <w:r w:rsidR="00070763">
      <w:rPr>
        <w:rFonts w:ascii="Arial" w:hAnsi="Arial" w:cs="Arial"/>
        <w:b/>
        <w:sz w:val="28"/>
        <w:szCs w:val="28"/>
        <w:lang w:val="en-US"/>
      </w:rPr>
      <w:t>05/0</w:t>
    </w:r>
    <w:r w:rsidR="00590BF9">
      <w:rPr>
        <w:rFonts w:ascii="Arial" w:hAnsi="Arial" w:cs="Arial"/>
        <w:b/>
        <w:sz w:val="28"/>
        <w:szCs w:val="28"/>
        <w:lang w:val="en-US"/>
      </w:rPr>
      <w:t>3</w:t>
    </w:r>
    <w:r w:rsidR="00E361F7">
      <w:rPr>
        <w:rFonts w:ascii="Arial" w:hAnsi="Arial" w:cs="Arial"/>
        <w:b/>
        <w:sz w:val="28"/>
        <w:szCs w:val="28"/>
        <w:lang w:val="en-US"/>
      </w:rPr>
      <w:t xml:space="preserve"> </w:t>
    </w:r>
  </w:p>
  <w:p w:rsidR="00536EB8" w:rsidRPr="000A7297" w:rsidRDefault="00536EB8" w:rsidP="00070763">
    <w:pPr>
      <w:spacing w:after="60"/>
      <w:jc w:val="right"/>
      <w:rPr>
        <w:rFonts w:ascii="Arial" w:hAnsi="Arial" w:cs="Arial"/>
        <w:b/>
        <w:sz w:val="28"/>
        <w:szCs w:val="28"/>
      </w:rPr>
    </w:pPr>
    <w:r w:rsidRPr="000A7297">
      <w:rPr>
        <w:rFonts w:ascii="Arial" w:hAnsi="Arial" w:cs="Arial"/>
        <w:b/>
        <w:sz w:val="28"/>
        <w:szCs w:val="28"/>
        <w:rtl/>
      </w:rPr>
      <w:t>الأصل: انجليزي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Times New Roman" w:hAnsi="Arial" w:cs="Arial" w:hint="default"/>
        <w:b/>
        <w:bCs/>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E411C8"/>
    <w:multiLevelType w:val="hybridMultilevel"/>
    <w:tmpl w:val="F82A1122"/>
    <w:lvl w:ilvl="0" w:tplc="D43CAFAA">
      <w:start w:val="1"/>
      <w:numFmt w:val="arabicAlpha"/>
      <w:lvlText w:val="%1)"/>
      <w:lvlJc w:val="left"/>
      <w:pPr>
        <w:tabs>
          <w:tab w:val="num" w:pos="0"/>
        </w:tabs>
        <w:ind w:left="720" w:hanging="360"/>
      </w:pPr>
      <w:rPr>
        <w:rFonts w:cs="Times New Roman" w:hint="default"/>
        <w:b/>
        <w:i w:val="0"/>
        <w:sz w:val="22"/>
        <w:szCs w:val="2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02F807A4"/>
    <w:multiLevelType w:val="hybridMultilevel"/>
    <w:tmpl w:val="DC6481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cs="Times New Roman" w:hint="default"/>
      </w:rPr>
    </w:lvl>
    <w:lvl w:ilvl="2" w:tplc="CEDC7C80">
      <w:start w:val="1"/>
      <w:numFmt w:val="bullet"/>
      <w:lvlText w:val=""/>
      <w:lvlJc w:val="left"/>
      <w:pPr>
        <w:tabs>
          <w:tab w:val="num" w:pos="1877"/>
        </w:tabs>
        <w:ind w:left="1877" w:hanging="360"/>
      </w:pPr>
      <w:rPr>
        <w:rFonts w:ascii="Wingdings" w:hAnsi="Wingdings" w:hint="default"/>
      </w:rPr>
    </w:lvl>
    <w:lvl w:ilvl="3" w:tplc="C3E6FACE">
      <w:start w:val="1"/>
      <w:numFmt w:val="bullet"/>
      <w:lvlText w:val=""/>
      <w:lvlJc w:val="left"/>
      <w:pPr>
        <w:tabs>
          <w:tab w:val="num" w:pos="2597"/>
        </w:tabs>
        <w:ind w:left="2597" w:hanging="360"/>
      </w:pPr>
      <w:rPr>
        <w:rFonts w:ascii="Symbol" w:hAnsi="Symbol" w:hint="default"/>
      </w:rPr>
    </w:lvl>
    <w:lvl w:ilvl="4" w:tplc="7826DF56">
      <w:start w:val="1"/>
      <w:numFmt w:val="bullet"/>
      <w:lvlText w:val="o"/>
      <w:lvlJc w:val="left"/>
      <w:pPr>
        <w:tabs>
          <w:tab w:val="num" w:pos="3317"/>
        </w:tabs>
        <w:ind w:left="3317" w:hanging="360"/>
      </w:pPr>
      <w:rPr>
        <w:rFonts w:ascii="Courier New" w:hAnsi="Courier New" w:hint="default"/>
      </w:rPr>
    </w:lvl>
    <w:lvl w:ilvl="5" w:tplc="9A427EF6">
      <w:start w:val="1"/>
      <w:numFmt w:val="bullet"/>
      <w:lvlText w:val=""/>
      <w:lvlJc w:val="left"/>
      <w:pPr>
        <w:tabs>
          <w:tab w:val="num" w:pos="4037"/>
        </w:tabs>
        <w:ind w:left="4037" w:hanging="360"/>
      </w:pPr>
      <w:rPr>
        <w:rFonts w:ascii="Wingdings" w:hAnsi="Wingdings" w:hint="default"/>
      </w:rPr>
    </w:lvl>
    <w:lvl w:ilvl="6" w:tplc="02AA8A76">
      <w:start w:val="1"/>
      <w:numFmt w:val="bullet"/>
      <w:lvlText w:val=""/>
      <w:lvlJc w:val="left"/>
      <w:pPr>
        <w:tabs>
          <w:tab w:val="num" w:pos="4757"/>
        </w:tabs>
        <w:ind w:left="4757" w:hanging="360"/>
      </w:pPr>
      <w:rPr>
        <w:rFonts w:ascii="Symbol" w:hAnsi="Symbol" w:hint="default"/>
      </w:rPr>
    </w:lvl>
    <w:lvl w:ilvl="7" w:tplc="46BAC4E2">
      <w:start w:val="1"/>
      <w:numFmt w:val="bullet"/>
      <w:lvlText w:val="o"/>
      <w:lvlJc w:val="left"/>
      <w:pPr>
        <w:tabs>
          <w:tab w:val="num" w:pos="5477"/>
        </w:tabs>
        <w:ind w:left="5477" w:hanging="360"/>
      </w:pPr>
      <w:rPr>
        <w:rFonts w:ascii="Courier New" w:hAnsi="Courier New" w:hint="default"/>
      </w:rPr>
    </w:lvl>
    <w:lvl w:ilvl="8" w:tplc="A5A0948C">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E1C62E4C">
      <w:start w:val="1"/>
      <w:numFmt w:val="decimal"/>
      <w:lvlText w:val="%1."/>
      <w:lvlJc w:val="left"/>
      <w:pPr>
        <w:ind w:left="785" w:hanging="360"/>
      </w:pPr>
      <w:rPr>
        <w:rFonts w:cs="Times New Roman" w:hint="default"/>
      </w:rPr>
    </w:lvl>
    <w:lvl w:ilvl="1" w:tplc="A0EAE294">
      <w:start w:val="1"/>
      <w:numFmt w:val="lowerLetter"/>
      <w:lvlText w:val="%2."/>
      <w:lvlJc w:val="left"/>
      <w:pPr>
        <w:ind w:left="1505" w:hanging="360"/>
      </w:pPr>
      <w:rPr>
        <w:rFonts w:cs="Times New Roman"/>
      </w:rPr>
    </w:lvl>
    <w:lvl w:ilvl="2" w:tplc="0B063C76">
      <w:start w:val="1"/>
      <w:numFmt w:val="lowerRoman"/>
      <w:lvlText w:val="%3."/>
      <w:lvlJc w:val="right"/>
      <w:pPr>
        <w:ind w:left="2225" w:hanging="180"/>
      </w:pPr>
      <w:rPr>
        <w:rFonts w:cs="Times New Roman"/>
      </w:rPr>
    </w:lvl>
    <w:lvl w:ilvl="3" w:tplc="CA8A91D6">
      <w:start w:val="1"/>
      <w:numFmt w:val="decimal"/>
      <w:lvlText w:val="%4."/>
      <w:lvlJc w:val="left"/>
      <w:pPr>
        <w:ind w:left="2945" w:hanging="360"/>
      </w:pPr>
      <w:rPr>
        <w:rFonts w:cs="Times New Roman"/>
      </w:rPr>
    </w:lvl>
    <w:lvl w:ilvl="4" w:tplc="23365A1C">
      <w:start w:val="1"/>
      <w:numFmt w:val="lowerLetter"/>
      <w:lvlText w:val="%5."/>
      <w:lvlJc w:val="left"/>
      <w:pPr>
        <w:ind w:left="3665" w:hanging="360"/>
      </w:pPr>
      <w:rPr>
        <w:rFonts w:cs="Times New Roman"/>
      </w:rPr>
    </w:lvl>
    <w:lvl w:ilvl="5" w:tplc="434C0896">
      <w:start w:val="1"/>
      <w:numFmt w:val="lowerRoman"/>
      <w:lvlText w:val="%6."/>
      <w:lvlJc w:val="right"/>
      <w:pPr>
        <w:ind w:left="4385" w:hanging="180"/>
      </w:pPr>
      <w:rPr>
        <w:rFonts w:cs="Times New Roman"/>
      </w:rPr>
    </w:lvl>
    <w:lvl w:ilvl="6" w:tplc="ABB837CC">
      <w:start w:val="1"/>
      <w:numFmt w:val="decimal"/>
      <w:lvlText w:val="%7."/>
      <w:lvlJc w:val="left"/>
      <w:pPr>
        <w:ind w:left="5105" w:hanging="360"/>
      </w:pPr>
      <w:rPr>
        <w:rFonts w:cs="Times New Roman"/>
      </w:rPr>
    </w:lvl>
    <w:lvl w:ilvl="7" w:tplc="F94A21BC">
      <w:start w:val="1"/>
      <w:numFmt w:val="lowerLetter"/>
      <w:lvlText w:val="%8."/>
      <w:lvlJc w:val="left"/>
      <w:pPr>
        <w:ind w:left="5825" w:hanging="360"/>
      </w:pPr>
      <w:rPr>
        <w:rFonts w:cs="Times New Roman"/>
      </w:rPr>
    </w:lvl>
    <w:lvl w:ilvl="8" w:tplc="ABAC6FDE">
      <w:start w:val="1"/>
      <w:numFmt w:val="lowerRoman"/>
      <w:lvlText w:val="%9."/>
      <w:lvlJc w:val="right"/>
      <w:pPr>
        <w:ind w:left="6545" w:hanging="180"/>
      </w:pPr>
      <w:rPr>
        <w:rFonts w:cs="Times New Roman"/>
      </w:rPr>
    </w:lvl>
  </w:abstractNum>
  <w:abstractNum w:abstractNumId="5" w15:restartNumberingAfterBreak="0">
    <w:nsid w:val="1EC52FED"/>
    <w:multiLevelType w:val="hybridMultilevel"/>
    <w:tmpl w:val="7624C5E8"/>
    <w:lvl w:ilvl="0" w:tplc="532ACC4E">
      <w:start w:val="1"/>
      <w:numFmt w:val="decimal"/>
      <w:lvlText w:val="%1."/>
      <w:lvlJc w:val="left"/>
      <w:pPr>
        <w:tabs>
          <w:tab w:val="num" w:pos="360"/>
        </w:tabs>
        <w:ind w:left="360" w:hanging="360"/>
      </w:pPr>
      <w:rPr>
        <w:rFonts w:cs="Times New Roman"/>
      </w:rPr>
    </w:lvl>
    <w:lvl w:ilvl="1" w:tplc="583A2290">
      <w:start w:val="1"/>
      <w:numFmt w:val="lowerLetter"/>
      <w:lvlText w:val="%2."/>
      <w:lvlJc w:val="left"/>
      <w:pPr>
        <w:tabs>
          <w:tab w:val="num" w:pos="1080"/>
        </w:tabs>
        <w:ind w:left="1080" w:hanging="360"/>
      </w:pPr>
      <w:rPr>
        <w:rFonts w:cs="Times New Roman"/>
      </w:rPr>
    </w:lvl>
    <w:lvl w:ilvl="2" w:tplc="764A57E4">
      <w:start w:val="1"/>
      <w:numFmt w:val="lowerRoman"/>
      <w:lvlText w:val="%3."/>
      <w:lvlJc w:val="right"/>
      <w:pPr>
        <w:tabs>
          <w:tab w:val="num" w:pos="1800"/>
        </w:tabs>
        <w:ind w:left="1800" w:hanging="180"/>
      </w:pPr>
      <w:rPr>
        <w:rFonts w:cs="Times New Roman"/>
      </w:rPr>
    </w:lvl>
    <w:lvl w:ilvl="3" w:tplc="4C3ABF6C">
      <w:start w:val="1"/>
      <w:numFmt w:val="decimal"/>
      <w:lvlText w:val="%4."/>
      <w:lvlJc w:val="left"/>
      <w:pPr>
        <w:tabs>
          <w:tab w:val="num" w:pos="2520"/>
        </w:tabs>
        <w:ind w:left="2520" w:hanging="360"/>
      </w:pPr>
      <w:rPr>
        <w:rFonts w:cs="Times New Roman"/>
      </w:rPr>
    </w:lvl>
    <w:lvl w:ilvl="4" w:tplc="1CECECA4">
      <w:start w:val="1"/>
      <w:numFmt w:val="lowerLetter"/>
      <w:lvlText w:val="%5."/>
      <w:lvlJc w:val="left"/>
      <w:pPr>
        <w:tabs>
          <w:tab w:val="num" w:pos="3240"/>
        </w:tabs>
        <w:ind w:left="3240" w:hanging="360"/>
      </w:pPr>
      <w:rPr>
        <w:rFonts w:cs="Times New Roman"/>
      </w:rPr>
    </w:lvl>
    <w:lvl w:ilvl="5" w:tplc="029ED4AA">
      <w:start w:val="1"/>
      <w:numFmt w:val="lowerRoman"/>
      <w:lvlText w:val="%6."/>
      <w:lvlJc w:val="right"/>
      <w:pPr>
        <w:tabs>
          <w:tab w:val="num" w:pos="3960"/>
        </w:tabs>
        <w:ind w:left="3960" w:hanging="180"/>
      </w:pPr>
      <w:rPr>
        <w:rFonts w:cs="Times New Roman"/>
      </w:rPr>
    </w:lvl>
    <w:lvl w:ilvl="6" w:tplc="1DC0CFDC">
      <w:start w:val="1"/>
      <w:numFmt w:val="decimal"/>
      <w:lvlText w:val="%7."/>
      <w:lvlJc w:val="left"/>
      <w:pPr>
        <w:tabs>
          <w:tab w:val="num" w:pos="4680"/>
        </w:tabs>
        <w:ind w:left="4680" w:hanging="360"/>
      </w:pPr>
      <w:rPr>
        <w:rFonts w:cs="Times New Roman"/>
      </w:rPr>
    </w:lvl>
    <w:lvl w:ilvl="7" w:tplc="D09EE274">
      <w:start w:val="1"/>
      <w:numFmt w:val="lowerLetter"/>
      <w:lvlText w:val="%8."/>
      <w:lvlJc w:val="left"/>
      <w:pPr>
        <w:tabs>
          <w:tab w:val="num" w:pos="5400"/>
        </w:tabs>
        <w:ind w:left="5400" w:hanging="360"/>
      </w:pPr>
      <w:rPr>
        <w:rFonts w:cs="Times New Roman"/>
      </w:rPr>
    </w:lvl>
    <w:lvl w:ilvl="8" w:tplc="387AF3C6">
      <w:start w:val="1"/>
      <w:numFmt w:val="lowerRoman"/>
      <w:lvlText w:val="%9."/>
      <w:lvlJc w:val="right"/>
      <w:pPr>
        <w:tabs>
          <w:tab w:val="num" w:pos="6120"/>
        </w:tabs>
        <w:ind w:left="6120" w:hanging="180"/>
      </w:pPr>
      <w:rPr>
        <w:rFonts w:cs="Times New Roman"/>
      </w:rPr>
    </w:lvl>
  </w:abstractNum>
  <w:abstractNum w:abstractNumId="6" w15:restartNumberingAfterBreak="0">
    <w:nsid w:val="2AB35019"/>
    <w:multiLevelType w:val="multilevel"/>
    <w:tmpl w:val="F4A297D4"/>
    <w:lvl w:ilvl="0">
      <w:start w:val="1"/>
      <w:numFmt w:val="decimal"/>
      <w:lvlText w:val="%1."/>
      <w:lvlJc w:val="left"/>
      <w:pPr>
        <w:tabs>
          <w:tab w:val="num" w:pos="928"/>
        </w:tabs>
        <w:ind w:left="928" w:hanging="360"/>
      </w:pPr>
      <w:rPr>
        <w:rFonts w:ascii="Arial" w:eastAsia="Times New Roman" w:hAnsi="Arial" w:cs="Arial"/>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5F07BFE"/>
    <w:multiLevelType w:val="hybridMultilevel"/>
    <w:tmpl w:val="E24AD55A"/>
    <w:lvl w:ilvl="0" w:tplc="833AC0C2">
      <w:start w:val="1"/>
      <w:numFmt w:val="decimal"/>
      <w:pStyle w:val="GAPara"/>
      <w:lvlText w:val="%1."/>
      <w:lvlJc w:val="left"/>
      <w:pPr>
        <w:ind w:left="720" w:hanging="360"/>
      </w:pPr>
      <w:rPr>
        <w:rFonts w:cs="Times New Roman"/>
      </w:rPr>
    </w:lvl>
    <w:lvl w:ilvl="1" w:tplc="6D722C4C">
      <w:start w:val="1"/>
      <w:numFmt w:val="lowerLetter"/>
      <w:lvlText w:val="%2."/>
      <w:lvlJc w:val="left"/>
      <w:pPr>
        <w:ind w:left="1440" w:hanging="360"/>
      </w:pPr>
      <w:rPr>
        <w:rFonts w:cs="Times New Roman"/>
      </w:rPr>
    </w:lvl>
    <w:lvl w:ilvl="2" w:tplc="BFB63D0A">
      <w:start w:val="1"/>
      <w:numFmt w:val="lowerRoman"/>
      <w:lvlText w:val="%3."/>
      <w:lvlJc w:val="right"/>
      <w:pPr>
        <w:ind w:left="2160" w:hanging="180"/>
      </w:pPr>
      <w:rPr>
        <w:rFonts w:cs="Times New Roman"/>
      </w:rPr>
    </w:lvl>
    <w:lvl w:ilvl="3" w:tplc="38FC933A">
      <w:start w:val="1"/>
      <w:numFmt w:val="decimal"/>
      <w:lvlText w:val="%4."/>
      <w:lvlJc w:val="left"/>
      <w:pPr>
        <w:ind w:left="2880" w:hanging="360"/>
      </w:pPr>
      <w:rPr>
        <w:rFonts w:cs="Times New Roman"/>
      </w:rPr>
    </w:lvl>
    <w:lvl w:ilvl="4" w:tplc="8CAC0E74">
      <w:start w:val="1"/>
      <w:numFmt w:val="lowerLetter"/>
      <w:lvlText w:val="%5."/>
      <w:lvlJc w:val="left"/>
      <w:pPr>
        <w:ind w:left="3600" w:hanging="360"/>
      </w:pPr>
      <w:rPr>
        <w:rFonts w:cs="Times New Roman"/>
      </w:rPr>
    </w:lvl>
    <w:lvl w:ilvl="5" w:tplc="D9785F20">
      <w:start w:val="1"/>
      <w:numFmt w:val="lowerRoman"/>
      <w:lvlText w:val="%6."/>
      <w:lvlJc w:val="right"/>
      <w:pPr>
        <w:ind w:left="4320" w:hanging="180"/>
      </w:pPr>
      <w:rPr>
        <w:rFonts w:cs="Times New Roman"/>
      </w:rPr>
    </w:lvl>
    <w:lvl w:ilvl="6" w:tplc="B02E5EC8">
      <w:start w:val="1"/>
      <w:numFmt w:val="decimal"/>
      <w:lvlText w:val="%7."/>
      <w:lvlJc w:val="left"/>
      <w:pPr>
        <w:ind w:left="5040" w:hanging="360"/>
      </w:pPr>
      <w:rPr>
        <w:rFonts w:cs="Times New Roman"/>
      </w:rPr>
    </w:lvl>
    <w:lvl w:ilvl="7" w:tplc="B3B84AFE">
      <w:start w:val="1"/>
      <w:numFmt w:val="lowerLetter"/>
      <w:lvlText w:val="%8."/>
      <w:lvlJc w:val="left"/>
      <w:pPr>
        <w:ind w:left="5760" w:hanging="360"/>
      </w:pPr>
      <w:rPr>
        <w:rFonts w:cs="Times New Roman"/>
      </w:rPr>
    </w:lvl>
    <w:lvl w:ilvl="8" w:tplc="58122C7C">
      <w:start w:val="1"/>
      <w:numFmt w:val="lowerRoman"/>
      <w:lvlText w:val="%9."/>
      <w:lvlJc w:val="right"/>
      <w:pPr>
        <w:ind w:left="6480" w:hanging="180"/>
      </w:pPr>
      <w:rPr>
        <w:rFonts w:cs="Times New Roman"/>
      </w:rPr>
    </w:lvl>
  </w:abstractNum>
  <w:abstractNum w:abstractNumId="8" w15:restartNumberingAfterBreak="0">
    <w:nsid w:val="36854BE1"/>
    <w:multiLevelType w:val="hybridMultilevel"/>
    <w:tmpl w:val="8766C2DA"/>
    <w:lvl w:ilvl="0" w:tplc="70AE65A0">
      <w:start w:val="1"/>
      <w:numFmt w:val="decimal"/>
      <w:lvlText w:val="%1."/>
      <w:lvlJc w:val="left"/>
      <w:pPr>
        <w:ind w:left="1287" w:hanging="360"/>
      </w:pPr>
      <w:rPr>
        <w:rFonts w:cs="Times New Roman"/>
      </w:rPr>
    </w:lvl>
    <w:lvl w:ilvl="1" w:tplc="4A1A5808">
      <w:start w:val="1"/>
      <w:numFmt w:val="lowerLetter"/>
      <w:lvlText w:val="%2."/>
      <w:lvlJc w:val="left"/>
      <w:pPr>
        <w:ind w:left="2007" w:hanging="360"/>
      </w:pPr>
      <w:rPr>
        <w:rFonts w:cs="Times New Roman"/>
      </w:rPr>
    </w:lvl>
    <w:lvl w:ilvl="2" w:tplc="B2CCCBFA">
      <w:start w:val="1"/>
      <w:numFmt w:val="lowerRoman"/>
      <w:lvlText w:val="%3."/>
      <w:lvlJc w:val="right"/>
      <w:pPr>
        <w:ind w:left="2727" w:hanging="180"/>
      </w:pPr>
      <w:rPr>
        <w:rFonts w:cs="Times New Roman"/>
      </w:rPr>
    </w:lvl>
    <w:lvl w:ilvl="3" w:tplc="C406C8B2">
      <w:start w:val="1"/>
      <w:numFmt w:val="decimal"/>
      <w:lvlText w:val="%4."/>
      <w:lvlJc w:val="left"/>
      <w:pPr>
        <w:ind w:left="3447" w:hanging="360"/>
      </w:pPr>
      <w:rPr>
        <w:rFonts w:cs="Times New Roman"/>
      </w:rPr>
    </w:lvl>
    <w:lvl w:ilvl="4" w:tplc="05E207EA">
      <w:start w:val="1"/>
      <w:numFmt w:val="lowerLetter"/>
      <w:lvlText w:val="%5."/>
      <w:lvlJc w:val="left"/>
      <w:pPr>
        <w:ind w:left="4167" w:hanging="360"/>
      </w:pPr>
      <w:rPr>
        <w:rFonts w:cs="Times New Roman"/>
      </w:rPr>
    </w:lvl>
    <w:lvl w:ilvl="5" w:tplc="EEA0193C">
      <w:start w:val="1"/>
      <w:numFmt w:val="lowerRoman"/>
      <w:lvlText w:val="%6."/>
      <w:lvlJc w:val="right"/>
      <w:pPr>
        <w:ind w:left="4887" w:hanging="180"/>
      </w:pPr>
      <w:rPr>
        <w:rFonts w:cs="Times New Roman"/>
      </w:rPr>
    </w:lvl>
    <w:lvl w:ilvl="6" w:tplc="6DEC568C">
      <w:start w:val="1"/>
      <w:numFmt w:val="decimal"/>
      <w:lvlText w:val="%7."/>
      <w:lvlJc w:val="left"/>
      <w:pPr>
        <w:ind w:left="5607" w:hanging="360"/>
      </w:pPr>
      <w:rPr>
        <w:rFonts w:cs="Times New Roman"/>
      </w:rPr>
    </w:lvl>
    <w:lvl w:ilvl="7" w:tplc="A3547472">
      <w:start w:val="1"/>
      <w:numFmt w:val="lowerLetter"/>
      <w:lvlText w:val="%8."/>
      <w:lvlJc w:val="left"/>
      <w:pPr>
        <w:ind w:left="6327" w:hanging="360"/>
      </w:pPr>
      <w:rPr>
        <w:rFonts w:cs="Times New Roman"/>
      </w:rPr>
    </w:lvl>
    <w:lvl w:ilvl="8" w:tplc="BA8C0DCE">
      <w:start w:val="1"/>
      <w:numFmt w:val="lowerRoman"/>
      <w:lvlText w:val="%9."/>
      <w:lvlJc w:val="right"/>
      <w:pPr>
        <w:ind w:left="7047" w:hanging="180"/>
      </w:pPr>
      <w:rPr>
        <w:rFonts w:cs="Times New Roman"/>
      </w:rPr>
    </w:lvl>
  </w:abstractNum>
  <w:abstractNum w:abstractNumId="9" w15:restartNumberingAfterBreak="0">
    <w:nsid w:val="397A4DB1"/>
    <w:multiLevelType w:val="hybridMultilevel"/>
    <w:tmpl w:val="1F36D964"/>
    <w:lvl w:ilvl="0" w:tplc="F16C5CF6">
      <w:start w:val="1"/>
      <w:numFmt w:val="decimal"/>
      <w:pStyle w:val="GAParaResolution"/>
      <w:lvlText w:val="%1."/>
      <w:lvlJc w:val="left"/>
      <w:pPr>
        <w:ind w:left="1287" w:hanging="360"/>
      </w:pPr>
      <w:rPr>
        <w:rFonts w:cs="Times New Roman"/>
      </w:rPr>
    </w:lvl>
    <w:lvl w:ilvl="1" w:tplc="BC30FF5C">
      <w:start w:val="1"/>
      <w:numFmt w:val="lowerLetter"/>
      <w:lvlText w:val="%2."/>
      <w:lvlJc w:val="left"/>
      <w:pPr>
        <w:ind w:left="2007" w:hanging="360"/>
      </w:pPr>
      <w:rPr>
        <w:rFonts w:cs="Times New Roman"/>
      </w:rPr>
    </w:lvl>
    <w:lvl w:ilvl="2" w:tplc="136A45B4">
      <w:start w:val="1"/>
      <w:numFmt w:val="lowerRoman"/>
      <w:lvlText w:val="%3."/>
      <w:lvlJc w:val="right"/>
      <w:pPr>
        <w:ind w:left="2727" w:hanging="180"/>
      </w:pPr>
      <w:rPr>
        <w:rFonts w:cs="Times New Roman"/>
      </w:rPr>
    </w:lvl>
    <w:lvl w:ilvl="3" w:tplc="9904C3CA">
      <w:start w:val="1"/>
      <w:numFmt w:val="decimal"/>
      <w:lvlText w:val="%4."/>
      <w:lvlJc w:val="left"/>
      <w:pPr>
        <w:ind w:left="3447" w:hanging="360"/>
      </w:pPr>
      <w:rPr>
        <w:rFonts w:cs="Times New Roman"/>
      </w:rPr>
    </w:lvl>
    <w:lvl w:ilvl="4" w:tplc="A64C2880">
      <w:start w:val="1"/>
      <w:numFmt w:val="lowerLetter"/>
      <w:lvlText w:val="%5."/>
      <w:lvlJc w:val="left"/>
      <w:pPr>
        <w:ind w:left="4167" w:hanging="360"/>
      </w:pPr>
      <w:rPr>
        <w:rFonts w:cs="Times New Roman"/>
      </w:rPr>
    </w:lvl>
    <w:lvl w:ilvl="5" w:tplc="03D2D1C4">
      <w:start w:val="1"/>
      <w:numFmt w:val="lowerRoman"/>
      <w:lvlText w:val="%6."/>
      <w:lvlJc w:val="right"/>
      <w:pPr>
        <w:ind w:left="4887" w:hanging="180"/>
      </w:pPr>
      <w:rPr>
        <w:rFonts w:cs="Times New Roman"/>
      </w:rPr>
    </w:lvl>
    <w:lvl w:ilvl="6" w:tplc="D2F47628">
      <w:start w:val="1"/>
      <w:numFmt w:val="decimal"/>
      <w:lvlText w:val="%7."/>
      <w:lvlJc w:val="left"/>
      <w:pPr>
        <w:ind w:left="5607" w:hanging="360"/>
      </w:pPr>
      <w:rPr>
        <w:rFonts w:cs="Times New Roman"/>
      </w:rPr>
    </w:lvl>
    <w:lvl w:ilvl="7" w:tplc="66C4C5D2">
      <w:start w:val="1"/>
      <w:numFmt w:val="lowerLetter"/>
      <w:lvlText w:val="%8."/>
      <w:lvlJc w:val="left"/>
      <w:pPr>
        <w:ind w:left="6327" w:hanging="360"/>
      </w:pPr>
      <w:rPr>
        <w:rFonts w:cs="Times New Roman"/>
      </w:rPr>
    </w:lvl>
    <w:lvl w:ilvl="8" w:tplc="B994E8CA">
      <w:start w:val="1"/>
      <w:numFmt w:val="lowerRoman"/>
      <w:lvlText w:val="%9."/>
      <w:lvlJc w:val="right"/>
      <w:pPr>
        <w:ind w:left="7047" w:hanging="180"/>
      </w:pPr>
      <w:rPr>
        <w:rFonts w:cs="Times New Roman"/>
      </w:rPr>
    </w:lvl>
  </w:abstractNum>
  <w:abstractNum w:abstractNumId="10" w15:restartNumberingAfterBreak="0">
    <w:nsid w:val="3AC30BD2"/>
    <w:multiLevelType w:val="hybridMultilevel"/>
    <w:tmpl w:val="2F02E984"/>
    <w:lvl w:ilvl="0" w:tplc="9C2CDE80">
      <w:start w:val="1"/>
      <w:numFmt w:val="upperRoman"/>
      <w:pStyle w:val="Heading4"/>
      <w:lvlText w:val="%1."/>
      <w:lvlJc w:val="right"/>
      <w:pPr>
        <w:ind w:left="720" w:hanging="360"/>
      </w:pPr>
      <w:rPr>
        <w:rFonts w:cs="Times New Roman" w:hint="default"/>
        <w:b/>
        <w:i w:val="0"/>
      </w:rPr>
    </w:lvl>
    <w:lvl w:ilvl="1" w:tplc="7E4ED608">
      <w:start w:val="1"/>
      <w:numFmt w:val="lowerLetter"/>
      <w:lvlText w:val="%2."/>
      <w:lvlJc w:val="left"/>
      <w:pPr>
        <w:ind w:left="1440" w:hanging="360"/>
      </w:pPr>
      <w:rPr>
        <w:rFonts w:cs="Times New Roman"/>
      </w:rPr>
    </w:lvl>
    <w:lvl w:ilvl="2" w:tplc="7870E9C8">
      <w:start w:val="1"/>
      <w:numFmt w:val="lowerRoman"/>
      <w:lvlText w:val="%3."/>
      <w:lvlJc w:val="right"/>
      <w:pPr>
        <w:ind w:left="2160" w:hanging="180"/>
      </w:pPr>
      <w:rPr>
        <w:rFonts w:cs="Times New Roman"/>
      </w:rPr>
    </w:lvl>
    <w:lvl w:ilvl="3" w:tplc="5F8C118C">
      <w:start w:val="1"/>
      <w:numFmt w:val="decimal"/>
      <w:lvlText w:val="%4."/>
      <w:lvlJc w:val="left"/>
      <w:pPr>
        <w:ind w:left="2880" w:hanging="360"/>
      </w:pPr>
      <w:rPr>
        <w:rFonts w:cs="Times New Roman"/>
      </w:rPr>
    </w:lvl>
    <w:lvl w:ilvl="4" w:tplc="A2ECB016">
      <w:start w:val="1"/>
      <w:numFmt w:val="lowerLetter"/>
      <w:lvlText w:val="%5."/>
      <w:lvlJc w:val="left"/>
      <w:pPr>
        <w:ind w:left="3600" w:hanging="360"/>
      </w:pPr>
      <w:rPr>
        <w:rFonts w:cs="Times New Roman"/>
      </w:rPr>
    </w:lvl>
    <w:lvl w:ilvl="5" w:tplc="B620642A">
      <w:start w:val="1"/>
      <w:numFmt w:val="lowerRoman"/>
      <w:lvlText w:val="%6."/>
      <w:lvlJc w:val="right"/>
      <w:pPr>
        <w:ind w:left="4320" w:hanging="180"/>
      </w:pPr>
      <w:rPr>
        <w:rFonts w:cs="Times New Roman"/>
      </w:rPr>
    </w:lvl>
    <w:lvl w:ilvl="6" w:tplc="20A0DF9E">
      <w:start w:val="1"/>
      <w:numFmt w:val="decimal"/>
      <w:lvlText w:val="%7."/>
      <w:lvlJc w:val="left"/>
      <w:pPr>
        <w:ind w:left="5040" w:hanging="360"/>
      </w:pPr>
      <w:rPr>
        <w:rFonts w:cs="Times New Roman"/>
      </w:rPr>
    </w:lvl>
    <w:lvl w:ilvl="7" w:tplc="654814FE">
      <w:start w:val="1"/>
      <w:numFmt w:val="lowerLetter"/>
      <w:lvlText w:val="%8."/>
      <w:lvlJc w:val="left"/>
      <w:pPr>
        <w:ind w:left="5760" w:hanging="360"/>
      </w:pPr>
      <w:rPr>
        <w:rFonts w:cs="Times New Roman"/>
      </w:rPr>
    </w:lvl>
    <w:lvl w:ilvl="8" w:tplc="A0CA1294">
      <w:start w:val="1"/>
      <w:numFmt w:val="lowerRoman"/>
      <w:lvlText w:val="%9."/>
      <w:lvlJc w:val="right"/>
      <w:pPr>
        <w:ind w:left="6480" w:hanging="180"/>
      </w:pPr>
      <w:rPr>
        <w:rFonts w:cs="Times New Roman"/>
      </w:rPr>
    </w:lvl>
  </w:abstractNum>
  <w:abstractNum w:abstractNumId="11" w15:restartNumberingAfterBreak="0">
    <w:nsid w:val="41E410AE"/>
    <w:multiLevelType w:val="hybridMultilevel"/>
    <w:tmpl w:val="FC284EC2"/>
    <w:lvl w:ilvl="0" w:tplc="CB4EFAE6">
      <w:start w:val="1"/>
      <w:numFmt w:val="decimal"/>
      <w:lvlText w:val="%1."/>
      <w:lvlJc w:val="left"/>
      <w:pPr>
        <w:ind w:left="1779" w:hanging="360"/>
      </w:pPr>
      <w:rPr>
        <w:rFonts w:cs="Times New Roman" w:hint="default"/>
        <w:u w:val="single"/>
      </w:rPr>
    </w:lvl>
    <w:lvl w:ilvl="1" w:tplc="FA3A1E44">
      <w:start w:val="1"/>
      <w:numFmt w:val="lowerLetter"/>
      <w:lvlText w:val="%2."/>
      <w:lvlJc w:val="left"/>
      <w:pPr>
        <w:ind w:left="2499" w:hanging="360"/>
      </w:pPr>
      <w:rPr>
        <w:rFonts w:cs="Times New Roman"/>
      </w:rPr>
    </w:lvl>
    <w:lvl w:ilvl="2" w:tplc="6F34B0CE">
      <w:start w:val="1"/>
      <w:numFmt w:val="lowerRoman"/>
      <w:lvlText w:val="%3."/>
      <w:lvlJc w:val="right"/>
      <w:pPr>
        <w:ind w:left="3219" w:hanging="180"/>
      </w:pPr>
      <w:rPr>
        <w:rFonts w:cs="Times New Roman"/>
      </w:rPr>
    </w:lvl>
    <w:lvl w:ilvl="3" w:tplc="62582B34">
      <w:start w:val="1"/>
      <w:numFmt w:val="decimal"/>
      <w:lvlText w:val="%4."/>
      <w:lvlJc w:val="left"/>
      <w:pPr>
        <w:ind w:left="3939" w:hanging="360"/>
      </w:pPr>
      <w:rPr>
        <w:rFonts w:cs="Times New Roman"/>
      </w:rPr>
    </w:lvl>
    <w:lvl w:ilvl="4" w:tplc="D14832FC">
      <w:start w:val="1"/>
      <w:numFmt w:val="lowerLetter"/>
      <w:lvlText w:val="%5."/>
      <w:lvlJc w:val="left"/>
      <w:pPr>
        <w:ind w:left="4659" w:hanging="360"/>
      </w:pPr>
      <w:rPr>
        <w:rFonts w:cs="Times New Roman"/>
      </w:rPr>
    </w:lvl>
    <w:lvl w:ilvl="5" w:tplc="493A9CD4">
      <w:start w:val="1"/>
      <w:numFmt w:val="lowerRoman"/>
      <w:lvlText w:val="%6."/>
      <w:lvlJc w:val="right"/>
      <w:pPr>
        <w:ind w:left="5379" w:hanging="180"/>
      </w:pPr>
      <w:rPr>
        <w:rFonts w:cs="Times New Roman"/>
      </w:rPr>
    </w:lvl>
    <w:lvl w:ilvl="6" w:tplc="F25A1370">
      <w:start w:val="1"/>
      <w:numFmt w:val="decimal"/>
      <w:lvlText w:val="%7."/>
      <w:lvlJc w:val="left"/>
      <w:pPr>
        <w:ind w:left="6099" w:hanging="360"/>
      </w:pPr>
      <w:rPr>
        <w:rFonts w:cs="Times New Roman"/>
      </w:rPr>
    </w:lvl>
    <w:lvl w:ilvl="7" w:tplc="27B010DC">
      <w:start w:val="1"/>
      <w:numFmt w:val="lowerLetter"/>
      <w:lvlText w:val="%8."/>
      <w:lvlJc w:val="left"/>
      <w:pPr>
        <w:ind w:left="6819" w:hanging="360"/>
      </w:pPr>
      <w:rPr>
        <w:rFonts w:cs="Times New Roman"/>
      </w:rPr>
    </w:lvl>
    <w:lvl w:ilvl="8" w:tplc="4E521DCC">
      <w:start w:val="1"/>
      <w:numFmt w:val="lowerRoman"/>
      <w:lvlText w:val="%9."/>
      <w:lvlJc w:val="right"/>
      <w:pPr>
        <w:ind w:left="7539" w:hanging="180"/>
      </w:pPr>
      <w:rPr>
        <w:rFonts w:cs="Times New Roman"/>
      </w:rPr>
    </w:lvl>
  </w:abstractNum>
  <w:abstractNum w:abstractNumId="12" w15:restartNumberingAfterBreak="0">
    <w:nsid w:val="44EA799B"/>
    <w:multiLevelType w:val="hybridMultilevel"/>
    <w:tmpl w:val="E29C370C"/>
    <w:lvl w:ilvl="0" w:tplc="4060F386">
      <w:start w:val="15"/>
      <w:numFmt w:val="bullet"/>
      <w:lvlText w:val="-"/>
      <w:lvlJc w:val="left"/>
      <w:pPr>
        <w:ind w:left="1494" w:hanging="360"/>
      </w:pPr>
      <w:rPr>
        <w:rFonts w:ascii="Arial" w:eastAsia="Times New Roman" w:hAnsi="Arial" w:hint="default"/>
      </w:rPr>
    </w:lvl>
    <w:lvl w:ilvl="1" w:tplc="E02E044C">
      <w:start w:val="1"/>
      <w:numFmt w:val="bullet"/>
      <w:lvlText w:val="o"/>
      <w:lvlJc w:val="left"/>
      <w:pPr>
        <w:ind w:left="2214" w:hanging="360"/>
      </w:pPr>
      <w:rPr>
        <w:rFonts w:ascii="Courier New" w:hAnsi="Courier New" w:hint="default"/>
      </w:rPr>
    </w:lvl>
    <w:lvl w:ilvl="2" w:tplc="19C87F4A">
      <w:start w:val="1"/>
      <w:numFmt w:val="bullet"/>
      <w:lvlText w:val=""/>
      <w:lvlJc w:val="left"/>
      <w:pPr>
        <w:ind w:left="2934" w:hanging="360"/>
      </w:pPr>
      <w:rPr>
        <w:rFonts w:ascii="Wingdings" w:hAnsi="Wingdings" w:hint="default"/>
      </w:rPr>
    </w:lvl>
    <w:lvl w:ilvl="3" w:tplc="9ED855CC">
      <w:start w:val="1"/>
      <w:numFmt w:val="bullet"/>
      <w:lvlText w:val=""/>
      <w:lvlJc w:val="left"/>
      <w:pPr>
        <w:ind w:left="3654" w:hanging="360"/>
      </w:pPr>
      <w:rPr>
        <w:rFonts w:ascii="Symbol" w:hAnsi="Symbol" w:hint="default"/>
      </w:rPr>
    </w:lvl>
    <w:lvl w:ilvl="4" w:tplc="FA3C6CEA">
      <w:start w:val="1"/>
      <w:numFmt w:val="bullet"/>
      <w:lvlText w:val="o"/>
      <w:lvlJc w:val="left"/>
      <w:pPr>
        <w:ind w:left="4374" w:hanging="360"/>
      </w:pPr>
      <w:rPr>
        <w:rFonts w:ascii="Courier New" w:hAnsi="Courier New" w:hint="default"/>
      </w:rPr>
    </w:lvl>
    <w:lvl w:ilvl="5" w:tplc="B2E6BC70">
      <w:start w:val="1"/>
      <w:numFmt w:val="bullet"/>
      <w:lvlText w:val=""/>
      <w:lvlJc w:val="left"/>
      <w:pPr>
        <w:ind w:left="5094" w:hanging="360"/>
      </w:pPr>
      <w:rPr>
        <w:rFonts w:ascii="Wingdings" w:hAnsi="Wingdings" w:hint="default"/>
      </w:rPr>
    </w:lvl>
    <w:lvl w:ilvl="6" w:tplc="CBD8B316">
      <w:start w:val="1"/>
      <w:numFmt w:val="bullet"/>
      <w:lvlText w:val=""/>
      <w:lvlJc w:val="left"/>
      <w:pPr>
        <w:ind w:left="5814" w:hanging="360"/>
      </w:pPr>
      <w:rPr>
        <w:rFonts w:ascii="Symbol" w:hAnsi="Symbol" w:hint="default"/>
      </w:rPr>
    </w:lvl>
    <w:lvl w:ilvl="7" w:tplc="C270C010">
      <w:start w:val="1"/>
      <w:numFmt w:val="bullet"/>
      <w:lvlText w:val="o"/>
      <w:lvlJc w:val="left"/>
      <w:pPr>
        <w:ind w:left="6534" w:hanging="360"/>
      </w:pPr>
      <w:rPr>
        <w:rFonts w:ascii="Courier New" w:hAnsi="Courier New" w:hint="default"/>
      </w:rPr>
    </w:lvl>
    <w:lvl w:ilvl="8" w:tplc="A516C670">
      <w:start w:val="1"/>
      <w:numFmt w:val="bullet"/>
      <w:lvlText w:val=""/>
      <w:lvlJc w:val="left"/>
      <w:pPr>
        <w:ind w:left="7254" w:hanging="360"/>
      </w:pPr>
      <w:rPr>
        <w:rFonts w:ascii="Wingdings" w:hAnsi="Wingdings" w:hint="default"/>
      </w:rPr>
    </w:lvl>
  </w:abstractNum>
  <w:abstractNum w:abstractNumId="13" w15:restartNumberingAfterBreak="0">
    <w:nsid w:val="5ECD35B7"/>
    <w:multiLevelType w:val="hybridMultilevel"/>
    <w:tmpl w:val="E40E8992"/>
    <w:lvl w:ilvl="0" w:tplc="CFB8662A">
      <w:start w:val="1"/>
      <w:numFmt w:val="decimal"/>
      <w:lvlText w:val="%1."/>
      <w:lvlJc w:val="left"/>
      <w:pPr>
        <w:ind w:left="1353" w:hanging="360"/>
      </w:pPr>
      <w:rPr>
        <w:rFonts w:cs="Times New Roman" w:hint="default"/>
      </w:rPr>
    </w:lvl>
    <w:lvl w:ilvl="1" w:tplc="E85A75D0">
      <w:start w:val="1"/>
      <w:numFmt w:val="lowerLetter"/>
      <w:lvlText w:val="%2."/>
      <w:lvlJc w:val="left"/>
      <w:pPr>
        <w:ind w:left="2073" w:hanging="360"/>
      </w:pPr>
      <w:rPr>
        <w:rFonts w:cs="Times New Roman"/>
      </w:rPr>
    </w:lvl>
    <w:lvl w:ilvl="2" w:tplc="1EB80474">
      <w:start w:val="1"/>
      <w:numFmt w:val="lowerRoman"/>
      <w:lvlText w:val="%3."/>
      <w:lvlJc w:val="right"/>
      <w:pPr>
        <w:ind w:left="2793" w:hanging="180"/>
      </w:pPr>
      <w:rPr>
        <w:rFonts w:cs="Times New Roman"/>
      </w:rPr>
    </w:lvl>
    <w:lvl w:ilvl="3" w:tplc="2FC8884E">
      <w:start w:val="1"/>
      <w:numFmt w:val="decimal"/>
      <w:lvlText w:val="%4."/>
      <w:lvlJc w:val="left"/>
      <w:pPr>
        <w:ind w:left="3513" w:hanging="360"/>
      </w:pPr>
      <w:rPr>
        <w:rFonts w:cs="Times New Roman"/>
      </w:rPr>
    </w:lvl>
    <w:lvl w:ilvl="4" w:tplc="85EAC586">
      <w:start w:val="1"/>
      <w:numFmt w:val="lowerLetter"/>
      <w:lvlText w:val="%5."/>
      <w:lvlJc w:val="left"/>
      <w:pPr>
        <w:ind w:left="4233" w:hanging="360"/>
      </w:pPr>
      <w:rPr>
        <w:rFonts w:cs="Times New Roman"/>
      </w:rPr>
    </w:lvl>
    <w:lvl w:ilvl="5" w:tplc="22A0B50E">
      <w:start w:val="1"/>
      <w:numFmt w:val="lowerRoman"/>
      <w:lvlText w:val="%6."/>
      <w:lvlJc w:val="right"/>
      <w:pPr>
        <w:ind w:left="4953" w:hanging="180"/>
      </w:pPr>
      <w:rPr>
        <w:rFonts w:cs="Times New Roman"/>
      </w:rPr>
    </w:lvl>
    <w:lvl w:ilvl="6" w:tplc="92821D22">
      <w:start w:val="1"/>
      <w:numFmt w:val="decimal"/>
      <w:lvlText w:val="%7."/>
      <w:lvlJc w:val="left"/>
      <w:pPr>
        <w:ind w:left="5673" w:hanging="360"/>
      </w:pPr>
      <w:rPr>
        <w:rFonts w:cs="Times New Roman"/>
      </w:rPr>
    </w:lvl>
    <w:lvl w:ilvl="7" w:tplc="E78A56AE">
      <w:start w:val="1"/>
      <w:numFmt w:val="lowerLetter"/>
      <w:lvlText w:val="%8."/>
      <w:lvlJc w:val="left"/>
      <w:pPr>
        <w:ind w:left="6393" w:hanging="360"/>
      </w:pPr>
      <w:rPr>
        <w:rFonts w:cs="Times New Roman"/>
      </w:rPr>
    </w:lvl>
    <w:lvl w:ilvl="8" w:tplc="B69CFF0E">
      <w:start w:val="1"/>
      <w:numFmt w:val="lowerRoman"/>
      <w:lvlText w:val="%9."/>
      <w:lvlJc w:val="right"/>
      <w:pPr>
        <w:ind w:left="7113" w:hanging="180"/>
      </w:pPr>
      <w:rPr>
        <w:rFonts w:cs="Times New Roman"/>
      </w:rPr>
    </w:lvl>
  </w:abstractNum>
  <w:abstractNum w:abstractNumId="14" w15:restartNumberingAfterBreak="0">
    <w:nsid w:val="66D826C3"/>
    <w:multiLevelType w:val="hybridMultilevel"/>
    <w:tmpl w:val="68B8CC1E"/>
    <w:lvl w:ilvl="0" w:tplc="D1F2A662">
      <w:start w:val="1"/>
      <w:numFmt w:val="decimal"/>
      <w:lvlText w:val="%1."/>
      <w:lvlJc w:val="left"/>
      <w:pPr>
        <w:ind w:left="720" w:hanging="360"/>
      </w:pPr>
      <w:rPr>
        <w:rFonts w:cs="Times New Roman"/>
      </w:rPr>
    </w:lvl>
    <w:lvl w:ilvl="1" w:tplc="6B0E936C">
      <w:start w:val="1"/>
      <w:numFmt w:val="lowerLetter"/>
      <w:lvlText w:val="%2."/>
      <w:lvlJc w:val="left"/>
      <w:pPr>
        <w:ind w:left="1440" w:hanging="360"/>
      </w:pPr>
      <w:rPr>
        <w:rFonts w:cs="Times New Roman"/>
      </w:rPr>
    </w:lvl>
    <w:lvl w:ilvl="2" w:tplc="0876D1CC">
      <w:start w:val="1"/>
      <w:numFmt w:val="lowerRoman"/>
      <w:lvlText w:val="%3."/>
      <w:lvlJc w:val="right"/>
      <w:pPr>
        <w:ind w:left="2160" w:hanging="180"/>
      </w:pPr>
      <w:rPr>
        <w:rFonts w:cs="Times New Roman"/>
      </w:rPr>
    </w:lvl>
    <w:lvl w:ilvl="3" w:tplc="0B12359A">
      <w:start w:val="1"/>
      <w:numFmt w:val="decimal"/>
      <w:lvlText w:val="%4."/>
      <w:lvlJc w:val="left"/>
      <w:pPr>
        <w:ind w:left="2880" w:hanging="360"/>
      </w:pPr>
      <w:rPr>
        <w:rFonts w:cs="Times New Roman"/>
      </w:rPr>
    </w:lvl>
    <w:lvl w:ilvl="4" w:tplc="C812F30C">
      <w:start w:val="1"/>
      <w:numFmt w:val="lowerLetter"/>
      <w:lvlText w:val="%5."/>
      <w:lvlJc w:val="left"/>
      <w:pPr>
        <w:ind w:left="3600" w:hanging="360"/>
      </w:pPr>
      <w:rPr>
        <w:rFonts w:cs="Times New Roman"/>
      </w:rPr>
    </w:lvl>
    <w:lvl w:ilvl="5" w:tplc="981256EA">
      <w:start w:val="1"/>
      <w:numFmt w:val="lowerRoman"/>
      <w:lvlText w:val="%6."/>
      <w:lvlJc w:val="right"/>
      <w:pPr>
        <w:ind w:left="4320" w:hanging="180"/>
      </w:pPr>
      <w:rPr>
        <w:rFonts w:cs="Times New Roman"/>
      </w:rPr>
    </w:lvl>
    <w:lvl w:ilvl="6" w:tplc="AF805156">
      <w:start w:val="1"/>
      <w:numFmt w:val="decimal"/>
      <w:lvlText w:val="%7."/>
      <w:lvlJc w:val="left"/>
      <w:pPr>
        <w:ind w:left="5040" w:hanging="360"/>
      </w:pPr>
      <w:rPr>
        <w:rFonts w:cs="Times New Roman"/>
      </w:rPr>
    </w:lvl>
    <w:lvl w:ilvl="7" w:tplc="D0A6EC24">
      <w:start w:val="1"/>
      <w:numFmt w:val="lowerLetter"/>
      <w:lvlText w:val="%8."/>
      <w:lvlJc w:val="left"/>
      <w:pPr>
        <w:ind w:left="5760" w:hanging="360"/>
      </w:pPr>
      <w:rPr>
        <w:rFonts w:cs="Times New Roman"/>
      </w:rPr>
    </w:lvl>
    <w:lvl w:ilvl="8" w:tplc="C888A570">
      <w:start w:val="1"/>
      <w:numFmt w:val="lowerRoman"/>
      <w:lvlText w:val="%9."/>
      <w:lvlJc w:val="right"/>
      <w:pPr>
        <w:ind w:left="6480" w:hanging="180"/>
      </w:pPr>
      <w:rPr>
        <w:rFonts w:cs="Times New Roman"/>
      </w:rPr>
    </w:lvl>
  </w:abstractNum>
  <w:abstractNum w:abstractNumId="15" w15:restartNumberingAfterBreak="0">
    <w:nsid w:val="7962713E"/>
    <w:multiLevelType w:val="hybridMultilevel"/>
    <w:tmpl w:val="35E27E5A"/>
    <w:lvl w:ilvl="0" w:tplc="A6802700">
      <w:start w:val="1"/>
      <w:numFmt w:val="decimal"/>
      <w:lvlText w:val="%1."/>
      <w:lvlJc w:val="left"/>
      <w:pPr>
        <w:ind w:left="785" w:hanging="360"/>
      </w:pPr>
      <w:rPr>
        <w:rFonts w:cs="Times New Roman" w:hint="default"/>
      </w:rPr>
    </w:lvl>
    <w:lvl w:ilvl="1" w:tplc="B3B01BAE">
      <w:start w:val="1"/>
      <w:numFmt w:val="lowerLetter"/>
      <w:lvlText w:val="%2."/>
      <w:lvlJc w:val="left"/>
      <w:pPr>
        <w:ind w:left="1440" w:hanging="360"/>
      </w:pPr>
      <w:rPr>
        <w:rFonts w:cs="Times New Roman"/>
      </w:rPr>
    </w:lvl>
    <w:lvl w:ilvl="2" w:tplc="366C40D0">
      <w:start w:val="1"/>
      <w:numFmt w:val="lowerRoman"/>
      <w:lvlText w:val="%3."/>
      <w:lvlJc w:val="right"/>
      <w:pPr>
        <w:ind w:left="2160" w:hanging="180"/>
      </w:pPr>
      <w:rPr>
        <w:rFonts w:cs="Times New Roman"/>
      </w:rPr>
    </w:lvl>
    <w:lvl w:ilvl="3" w:tplc="F77E5EDE">
      <w:start w:val="1"/>
      <w:numFmt w:val="decimal"/>
      <w:lvlText w:val="%4."/>
      <w:lvlJc w:val="left"/>
      <w:pPr>
        <w:ind w:left="2880" w:hanging="360"/>
      </w:pPr>
      <w:rPr>
        <w:rFonts w:cs="Times New Roman"/>
      </w:rPr>
    </w:lvl>
    <w:lvl w:ilvl="4" w:tplc="04CA3C66">
      <w:start w:val="1"/>
      <w:numFmt w:val="lowerLetter"/>
      <w:lvlText w:val="%5."/>
      <w:lvlJc w:val="left"/>
      <w:pPr>
        <w:ind w:left="3600" w:hanging="360"/>
      </w:pPr>
      <w:rPr>
        <w:rFonts w:cs="Times New Roman"/>
      </w:rPr>
    </w:lvl>
    <w:lvl w:ilvl="5" w:tplc="85A8ED82">
      <w:start w:val="1"/>
      <w:numFmt w:val="lowerRoman"/>
      <w:lvlText w:val="%6."/>
      <w:lvlJc w:val="right"/>
      <w:pPr>
        <w:ind w:left="4320" w:hanging="180"/>
      </w:pPr>
      <w:rPr>
        <w:rFonts w:cs="Times New Roman"/>
      </w:rPr>
    </w:lvl>
    <w:lvl w:ilvl="6" w:tplc="23409014">
      <w:start w:val="1"/>
      <w:numFmt w:val="decimal"/>
      <w:lvlText w:val="%7."/>
      <w:lvlJc w:val="left"/>
      <w:pPr>
        <w:ind w:left="5040" w:hanging="360"/>
      </w:pPr>
      <w:rPr>
        <w:rFonts w:cs="Times New Roman"/>
      </w:rPr>
    </w:lvl>
    <w:lvl w:ilvl="7" w:tplc="CDE2EE0E">
      <w:start w:val="1"/>
      <w:numFmt w:val="lowerLetter"/>
      <w:lvlText w:val="%8."/>
      <w:lvlJc w:val="left"/>
      <w:pPr>
        <w:ind w:left="5760" w:hanging="360"/>
      </w:pPr>
      <w:rPr>
        <w:rFonts w:cs="Times New Roman"/>
      </w:rPr>
    </w:lvl>
    <w:lvl w:ilvl="8" w:tplc="2E54C292">
      <w:start w:val="1"/>
      <w:numFmt w:val="lowerRoman"/>
      <w:lvlText w:val="%9."/>
      <w:lvlJc w:val="right"/>
      <w:pPr>
        <w:ind w:left="6480" w:hanging="180"/>
      </w:pPr>
      <w:rPr>
        <w:rFonts w:cs="Times New Roman"/>
      </w:rPr>
    </w:lvl>
  </w:abstractNum>
  <w:num w:numId="1">
    <w:abstractNumId w:val="13"/>
  </w:num>
  <w:num w:numId="2">
    <w:abstractNumId w:val="8"/>
  </w:num>
  <w:num w:numId="3">
    <w:abstractNumId w:val="4"/>
  </w:num>
  <w:num w:numId="4">
    <w:abstractNumId w:val="15"/>
  </w:num>
  <w:num w:numId="5">
    <w:abstractNumId w:val="14"/>
  </w:num>
  <w:num w:numId="6">
    <w:abstractNumId w:val="3"/>
  </w:num>
  <w:num w:numId="7">
    <w:abstractNumId w:val="5"/>
  </w:num>
  <w:num w:numId="8">
    <w:abstractNumId w:val="12"/>
  </w:num>
  <w:num w:numId="9">
    <w:abstractNumId w:val="7"/>
  </w:num>
  <w:num w:numId="10">
    <w:abstractNumId w:val="9"/>
  </w:num>
  <w:num w:numId="11">
    <w:abstractNumId w:val="11"/>
  </w:num>
  <w:num w:numId="12">
    <w:abstractNumId w:val="10"/>
  </w:num>
  <w:num w:numId="13">
    <w:abstractNumId w:val="2"/>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9"/>
  <w:hyphenationZone w:val="425"/>
  <w:doNotHyphenateCaps/>
  <w:evenAndOddHeaders/>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ED"/>
    <w:rsid w:val="00010967"/>
    <w:rsid w:val="0001325F"/>
    <w:rsid w:val="00023690"/>
    <w:rsid w:val="00041A66"/>
    <w:rsid w:val="00063FAE"/>
    <w:rsid w:val="00070763"/>
    <w:rsid w:val="000936F9"/>
    <w:rsid w:val="000959AD"/>
    <w:rsid w:val="000A7297"/>
    <w:rsid w:val="001237E5"/>
    <w:rsid w:val="001370D4"/>
    <w:rsid w:val="0018093B"/>
    <w:rsid w:val="001A4C50"/>
    <w:rsid w:val="00230E44"/>
    <w:rsid w:val="002600F7"/>
    <w:rsid w:val="00275ACD"/>
    <w:rsid w:val="002B68E2"/>
    <w:rsid w:val="002F5E3B"/>
    <w:rsid w:val="00305265"/>
    <w:rsid w:val="00313C4C"/>
    <w:rsid w:val="0031700D"/>
    <w:rsid w:val="003255D9"/>
    <w:rsid w:val="00345CB4"/>
    <w:rsid w:val="00376083"/>
    <w:rsid w:val="0039544F"/>
    <w:rsid w:val="003B0340"/>
    <w:rsid w:val="003D0F52"/>
    <w:rsid w:val="00414643"/>
    <w:rsid w:val="004222E7"/>
    <w:rsid w:val="00427316"/>
    <w:rsid w:val="004402AC"/>
    <w:rsid w:val="004528C2"/>
    <w:rsid w:val="0049359A"/>
    <w:rsid w:val="004B5FF0"/>
    <w:rsid w:val="004C5636"/>
    <w:rsid w:val="004D5520"/>
    <w:rsid w:val="00536EB8"/>
    <w:rsid w:val="005551FA"/>
    <w:rsid w:val="0057486C"/>
    <w:rsid w:val="00590BF9"/>
    <w:rsid w:val="005B74F1"/>
    <w:rsid w:val="005F0D8D"/>
    <w:rsid w:val="0063300C"/>
    <w:rsid w:val="006363F7"/>
    <w:rsid w:val="006824B1"/>
    <w:rsid w:val="006902ED"/>
    <w:rsid w:val="006B0CC0"/>
    <w:rsid w:val="006C60E9"/>
    <w:rsid w:val="006E42FB"/>
    <w:rsid w:val="006F7E9F"/>
    <w:rsid w:val="00725653"/>
    <w:rsid w:val="00736FF2"/>
    <w:rsid w:val="007E1545"/>
    <w:rsid w:val="008101BF"/>
    <w:rsid w:val="00833572"/>
    <w:rsid w:val="008724E5"/>
    <w:rsid w:val="00873ACB"/>
    <w:rsid w:val="008B68DE"/>
    <w:rsid w:val="00A028C5"/>
    <w:rsid w:val="00A27B05"/>
    <w:rsid w:val="00A31F93"/>
    <w:rsid w:val="00A50B93"/>
    <w:rsid w:val="00A5247C"/>
    <w:rsid w:val="00A66B93"/>
    <w:rsid w:val="00AA1F06"/>
    <w:rsid w:val="00AC375C"/>
    <w:rsid w:val="00AD29ED"/>
    <w:rsid w:val="00AF5C83"/>
    <w:rsid w:val="00B11628"/>
    <w:rsid w:val="00B11A05"/>
    <w:rsid w:val="00B1422A"/>
    <w:rsid w:val="00B44D00"/>
    <w:rsid w:val="00B6106E"/>
    <w:rsid w:val="00B74D37"/>
    <w:rsid w:val="00B96D0E"/>
    <w:rsid w:val="00BB5D43"/>
    <w:rsid w:val="00BC780C"/>
    <w:rsid w:val="00BF7F9D"/>
    <w:rsid w:val="00C22561"/>
    <w:rsid w:val="00C23A97"/>
    <w:rsid w:val="00C413A3"/>
    <w:rsid w:val="00C42AAB"/>
    <w:rsid w:val="00C7174E"/>
    <w:rsid w:val="00C73E16"/>
    <w:rsid w:val="00CA0898"/>
    <w:rsid w:val="00CC344B"/>
    <w:rsid w:val="00CE1340"/>
    <w:rsid w:val="00D2405A"/>
    <w:rsid w:val="00D43DB2"/>
    <w:rsid w:val="00DD2C63"/>
    <w:rsid w:val="00DE103F"/>
    <w:rsid w:val="00DF38E1"/>
    <w:rsid w:val="00E07072"/>
    <w:rsid w:val="00E1166E"/>
    <w:rsid w:val="00E24257"/>
    <w:rsid w:val="00E33EEF"/>
    <w:rsid w:val="00E361F7"/>
    <w:rsid w:val="00E63828"/>
    <w:rsid w:val="00E838D3"/>
    <w:rsid w:val="00E86EB3"/>
    <w:rsid w:val="00E919DA"/>
    <w:rsid w:val="00EA528C"/>
    <w:rsid w:val="00EE2562"/>
    <w:rsid w:val="00EF1210"/>
    <w:rsid w:val="00F12DC4"/>
    <w:rsid w:val="00F447A4"/>
    <w:rsid w:val="00F62910"/>
    <w:rsid w:val="00F64BEB"/>
    <w:rsid w:val="00FC0627"/>
    <w:rsid w:val="00FD00D1"/>
    <w:rsid w:val="00FD624F"/>
    <w:rsid w:val="00FE655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59B5BB4B"/>
  <w15:docId w15:val="{23DF2562-D2EF-4A08-B83F-071C9688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8C2"/>
    <w:pPr>
      <w:bidi/>
    </w:pPr>
    <w:rPr>
      <w:rFonts w:ascii="Times New Roman" w:hAnsi="Times New Roman"/>
      <w:sz w:val="24"/>
      <w:szCs w:val="24"/>
    </w:rPr>
  </w:style>
  <w:style w:type="paragraph" w:styleId="Heading2">
    <w:name w:val="heading 2"/>
    <w:basedOn w:val="Normal"/>
    <w:next w:val="Normal"/>
    <w:link w:val="Heading2Char"/>
    <w:uiPriority w:val="99"/>
    <w:qFormat/>
    <w:rsid w:val="004528C2"/>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uiPriority w:val="99"/>
    <w:qFormat/>
    <w:rsid w:val="004528C2"/>
    <w:pPr>
      <w:keepNext/>
      <w:keepLines/>
      <w:numPr>
        <w:numId w:val="12"/>
      </w:numPr>
      <w:tabs>
        <w:tab w:val="left" w:pos="567"/>
      </w:tabs>
      <w:snapToGrid w:val="0"/>
      <w:spacing w:after="240"/>
      <w:ind w:left="567" w:hanging="567"/>
      <w:outlineLvl w:val="3"/>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528C2"/>
    <w:rPr>
      <w:rFonts w:ascii="Cambria" w:hAnsi="Cambria" w:cs="Times New Roman"/>
      <w:b/>
      <w:i/>
      <w:sz w:val="28"/>
    </w:rPr>
  </w:style>
  <w:style w:type="character" w:customStyle="1" w:styleId="Heading4Char">
    <w:name w:val="Heading 4 Char"/>
    <w:aliases w:val="GA Heading Char"/>
    <w:basedOn w:val="DefaultParagraphFont"/>
    <w:link w:val="Heading4"/>
    <w:uiPriority w:val="99"/>
    <w:locked/>
    <w:rsid w:val="004528C2"/>
    <w:rPr>
      <w:rFonts w:ascii="Arial" w:hAnsi="Arial" w:cs="Times New Roman"/>
      <w:b/>
      <w:sz w:val="24"/>
      <w:lang w:eastAsia="en-US"/>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val="en-GB"/>
    </w:rPr>
  </w:style>
  <w:style w:type="character" w:customStyle="1" w:styleId="HeaderChar">
    <w:name w:val="Header Char"/>
    <w:basedOn w:val="DefaultParagraphFont"/>
    <w:link w:val="Header"/>
    <w:uiPriority w:val="99"/>
    <w:locked/>
    <w:rsid w:val="008724E5"/>
    <w:rPr>
      <w:rFonts w:cs="Times New Roman"/>
      <w:lang w:val="en-GB"/>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val="en-GB"/>
    </w:rPr>
  </w:style>
  <w:style w:type="character" w:customStyle="1" w:styleId="FooterChar">
    <w:name w:val="Footer Char"/>
    <w:basedOn w:val="DefaultParagraphFont"/>
    <w:link w:val="Footer"/>
    <w:uiPriority w:val="99"/>
    <w:locked/>
    <w:rsid w:val="008724E5"/>
    <w:rPr>
      <w:rFonts w:cs="Times New Roman"/>
      <w:lang w:val="en-GB"/>
    </w:rPr>
  </w:style>
  <w:style w:type="paragraph" w:styleId="BalloonText">
    <w:name w:val="Balloon Text"/>
    <w:basedOn w:val="Normal"/>
    <w:link w:val="BalloonTextChar"/>
    <w:uiPriority w:val="99"/>
    <w:semiHidden/>
    <w:rsid w:val="008724E5"/>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8724E5"/>
    <w:rPr>
      <w:rFonts w:ascii="Tahoma" w:hAnsi="Tahoma" w:cs="Times New Roman"/>
      <w:sz w:val="16"/>
      <w:lang w:val="en-GB"/>
    </w:rPr>
  </w:style>
  <w:style w:type="paragraph" w:customStyle="1" w:styleId="Sansinterligne2">
    <w:name w:val="Sans interligne2"/>
    <w:uiPriority w:val="99"/>
    <w:rsid w:val="004528C2"/>
    <w:pPr>
      <w:bidi/>
    </w:pPr>
    <w:rPr>
      <w:rFonts w:ascii="Times New Roman" w:hAnsi="Times New Roman"/>
      <w:sz w:val="24"/>
      <w:szCs w:val="24"/>
    </w:rPr>
  </w:style>
  <w:style w:type="table" w:styleId="TableGrid">
    <w:name w:val="Table Grid"/>
    <w:basedOn w:val="TableNormal"/>
    <w:uiPriority w:val="99"/>
    <w:rsid w:val="004528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4528C2"/>
    <w:rPr>
      <w:rFonts w:cs="Times New Roman"/>
    </w:rPr>
  </w:style>
  <w:style w:type="paragraph" w:customStyle="1" w:styleId="ColorfulList-Accent11">
    <w:name w:val="Colorful List - Accent 11"/>
    <w:basedOn w:val="Normal"/>
    <w:uiPriority w:val="99"/>
    <w:rsid w:val="004528C2"/>
    <w:pPr>
      <w:ind w:left="720"/>
    </w:pPr>
  </w:style>
  <w:style w:type="paragraph" w:customStyle="1" w:styleId="b">
    <w:name w:val="(b)"/>
    <w:basedOn w:val="Normal"/>
    <w:uiPriority w:val="99"/>
    <w:rsid w:val="004528C2"/>
    <w:pPr>
      <w:tabs>
        <w:tab w:val="left" w:pos="-737"/>
        <w:tab w:val="left" w:pos="1134"/>
      </w:tabs>
      <w:snapToGrid w:val="0"/>
      <w:spacing w:after="240"/>
      <w:ind w:left="1134" w:hanging="567"/>
      <w:jc w:val="both"/>
    </w:pPr>
    <w:rPr>
      <w:rFonts w:ascii="Arial" w:hAnsi="Arial"/>
      <w:sz w:val="22"/>
      <w:lang w:eastAsia="en-US"/>
    </w:rPr>
  </w:style>
  <w:style w:type="paragraph" w:customStyle="1" w:styleId="Par">
    <w:name w:val="Par"/>
    <w:basedOn w:val="Normal"/>
    <w:uiPriority w:val="99"/>
    <w:rsid w:val="004528C2"/>
    <w:pPr>
      <w:tabs>
        <w:tab w:val="left" w:pos="567"/>
      </w:tabs>
      <w:snapToGrid w:val="0"/>
      <w:spacing w:after="240"/>
      <w:ind w:firstLine="567"/>
      <w:jc w:val="both"/>
    </w:pPr>
    <w:rPr>
      <w:rFonts w:ascii="Arial" w:hAnsi="Arial"/>
      <w:sz w:val="22"/>
      <w:lang w:eastAsia="en-US"/>
    </w:rPr>
  </w:style>
  <w:style w:type="paragraph" w:customStyle="1" w:styleId="Marge">
    <w:name w:val="Marge"/>
    <w:basedOn w:val="Par"/>
    <w:uiPriority w:val="99"/>
    <w:rsid w:val="004528C2"/>
    <w:pPr>
      <w:ind w:firstLine="0"/>
    </w:pPr>
  </w:style>
  <w:style w:type="paragraph" w:customStyle="1" w:styleId="TIRETbul1cm">
    <w:name w:val="TIRET bul 1cm"/>
    <w:basedOn w:val="Normal"/>
    <w:uiPriority w:val="99"/>
    <w:rsid w:val="004528C2"/>
    <w:pPr>
      <w:numPr>
        <w:numId w:val="6"/>
      </w:numPr>
      <w:tabs>
        <w:tab w:val="left" w:pos="851"/>
      </w:tabs>
      <w:adjustRightInd w:val="0"/>
      <w:snapToGrid w:val="0"/>
      <w:spacing w:after="240"/>
      <w:jc w:val="both"/>
    </w:pPr>
    <w:rPr>
      <w:rFonts w:ascii="Arial" w:hAnsi="Arial"/>
      <w:sz w:val="22"/>
      <w:lang w:eastAsia="zh-CN"/>
    </w:rPr>
  </w:style>
  <w:style w:type="character" w:customStyle="1" w:styleId="apple-style-span">
    <w:name w:val="apple-style-span"/>
    <w:basedOn w:val="DefaultParagraphFont"/>
    <w:uiPriority w:val="99"/>
    <w:rsid w:val="004528C2"/>
    <w:rPr>
      <w:rFonts w:cs="Times New Roman"/>
    </w:rPr>
  </w:style>
  <w:style w:type="character" w:customStyle="1" w:styleId="apple-converted-space">
    <w:name w:val="apple-converted-space"/>
    <w:basedOn w:val="DefaultParagraphFont"/>
    <w:uiPriority w:val="99"/>
    <w:rsid w:val="004528C2"/>
    <w:rPr>
      <w:rFonts w:cs="Times New Roman"/>
    </w:rPr>
  </w:style>
  <w:style w:type="paragraph" w:customStyle="1" w:styleId="Sansinterligne1">
    <w:name w:val="Sans interligne1"/>
    <w:uiPriority w:val="99"/>
    <w:rsid w:val="004528C2"/>
    <w:pPr>
      <w:bidi/>
    </w:pPr>
    <w:rPr>
      <w:rFonts w:ascii="Times New Roman" w:hAnsi="Times New Roman"/>
      <w:sz w:val="24"/>
      <w:szCs w:val="24"/>
    </w:rPr>
  </w:style>
  <w:style w:type="paragraph" w:customStyle="1" w:styleId="GAPara">
    <w:name w:val="GA Para"/>
    <w:uiPriority w:val="99"/>
    <w:rsid w:val="004528C2"/>
    <w:pPr>
      <w:numPr>
        <w:numId w:val="9"/>
      </w:numPr>
      <w:bidi/>
      <w:spacing w:after="120"/>
      <w:ind w:left="567" w:hanging="567"/>
    </w:pPr>
    <w:rPr>
      <w:rFonts w:ascii="Arial" w:hAnsi="Arial" w:cs="Arial"/>
      <w:sz w:val="22"/>
      <w:szCs w:val="22"/>
      <w:lang w:val="en-GB" w:eastAsia="en-US"/>
    </w:rPr>
  </w:style>
  <w:style w:type="paragraph" w:customStyle="1" w:styleId="GATitleResolution">
    <w:name w:val="GA Title Resolution"/>
    <w:basedOn w:val="Normal"/>
    <w:uiPriority w:val="99"/>
    <w:rsid w:val="004528C2"/>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uiPriority w:val="99"/>
    <w:rsid w:val="004528C2"/>
    <w:pPr>
      <w:keepNext/>
      <w:spacing w:after="120"/>
      <w:ind w:left="567"/>
      <w:jc w:val="both"/>
    </w:pPr>
    <w:rPr>
      <w:rFonts w:ascii="Arial" w:hAnsi="Arial" w:cs="Arial"/>
      <w:sz w:val="22"/>
      <w:szCs w:val="22"/>
      <w:lang w:val="en-GB"/>
    </w:rPr>
  </w:style>
  <w:style w:type="paragraph" w:customStyle="1" w:styleId="GAParaResolution">
    <w:name w:val="GA Para Resolution"/>
    <w:basedOn w:val="Normal"/>
    <w:uiPriority w:val="99"/>
    <w:rsid w:val="004528C2"/>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paragraph" w:styleId="ListParagraph">
    <w:name w:val="List Paragraph"/>
    <w:basedOn w:val="Normal"/>
    <w:uiPriority w:val="99"/>
    <w:qFormat/>
    <w:rsid w:val="00C22561"/>
    <w:pPr>
      <w:bidi w:val="0"/>
      <w:ind w:left="720"/>
    </w:pPr>
  </w:style>
  <w:style w:type="paragraph" w:customStyle="1" w:styleId="COMParaDecision">
    <w:name w:val="COM Para Decision"/>
    <w:basedOn w:val="Normal"/>
    <w:uiPriority w:val="99"/>
    <w:rsid w:val="00C22561"/>
    <w:pPr>
      <w:autoSpaceDE w:val="0"/>
      <w:autoSpaceDN w:val="0"/>
      <w:bidi w:val="0"/>
      <w:adjustRightInd w:val="0"/>
      <w:spacing w:after="120"/>
      <w:ind w:left="1134" w:hanging="567"/>
      <w:jc w:val="both"/>
    </w:pPr>
    <w:rPr>
      <w:rFonts w:ascii="Arial" w:hAnsi="Arial" w:cs="Arial"/>
      <w:sz w:val="22"/>
      <w:szCs w:val="22"/>
      <w:u w:val="single"/>
      <w:lang w:val="en-GB"/>
    </w:rPr>
  </w:style>
  <w:style w:type="character" w:styleId="Hyperlink">
    <w:name w:val="Hyperlink"/>
    <w:basedOn w:val="DefaultParagraphFont"/>
    <w:uiPriority w:val="99"/>
    <w:rsid w:val="00C22561"/>
    <w:rPr>
      <w:rFonts w:cs="Times New Roman"/>
      <w:color w:val="0000FF"/>
      <w:u w:val="single"/>
    </w:rPr>
  </w:style>
  <w:style w:type="paragraph" w:styleId="FootnoteText">
    <w:name w:val="footnote text"/>
    <w:basedOn w:val="Normal"/>
    <w:link w:val="FootnoteTextChar"/>
    <w:uiPriority w:val="99"/>
    <w:semiHidden/>
    <w:rsid w:val="00C22561"/>
    <w:pPr>
      <w:bidi w:val="0"/>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831A6F"/>
    <w:rPr>
      <w:rFonts w:ascii="Times New Roman" w:hAnsi="Times New Roman"/>
      <w:sz w:val="20"/>
      <w:szCs w:val="20"/>
    </w:rPr>
  </w:style>
  <w:style w:type="character" w:styleId="FootnoteReference">
    <w:name w:val="footnote reference"/>
    <w:basedOn w:val="DefaultParagraphFont"/>
    <w:uiPriority w:val="99"/>
    <w:semiHidden/>
    <w:rsid w:val="00C22561"/>
    <w:rPr>
      <w:rFonts w:cs="Times New Roman"/>
      <w:vertAlign w:val="superscript"/>
    </w:rPr>
  </w:style>
  <w:style w:type="character" w:customStyle="1" w:styleId="hps">
    <w:name w:val="hps"/>
    <w:uiPriority w:val="99"/>
    <w:rsid w:val="00C22561"/>
  </w:style>
  <w:style w:type="character" w:styleId="Strong">
    <w:name w:val="Strong"/>
    <w:basedOn w:val="DefaultParagraphFont"/>
    <w:uiPriority w:val="99"/>
    <w:qFormat/>
    <w:locked/>
    <w:rsid w:val="00C22561"/>
    <w:rPr>
      <w:rFonts w:cs="Times New Roman"/>
      <w:b/>
    </w:rPr>
  </w:style>
  <w:style w:type="paragraph" w:customStyle="1" w:styleId="5GAParaResolution">
    <w:name w:val="5GA Para Resolution"/>
    <w:basedOn w:val="Normal"/>
    <w:uiPriority w:val="99"/>
    <w:rsid w:val="00C22561"/>
    <w:pPr>
      <w:autoSpaceDE w:val="0"/>
      <w:autoSpaceDN w:val="0"/>
      <w:bidi w:val="0"/>
      <w:adjustRightInd w:val="0"/>
      <w:spacing w:after="120"/>
      <w:ind w:left="1134" w:hanging="567"/>
      <w:jc w:val="both"/>
    </w:pPr>
    <w:rPr>
      <w:rFonts w:ascii="Arial" w:hAnsi="Arial" w:cs="Arial"/>
      <w:sz w:val="22"/>
      <w:szCs w:val="22"/>
      <w:lang w:val="en-GB"/>
    </w:rPr>
  </w:style>
  <w:style w:type="character" w:customStyle="1" w:styleId="shorttext">
    <w:name w:val="short_text"/>
    <w:uiPriority w:val="99"/>
    <w:rsid w:val="00C2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ITH-18-7.GA-7-AR.docx" TargetMode="External"/><Relationship Id="rId18" Type="http://schemas.openxmlformats.org/officeDocument/2006/relationships/hyperlink" Target="https://ich.unesco.org/en/Decisions/11.COM/6" TargetMode="External"/><Relationship Id="rId26" Type="http://schemas.openxmlformats.org/officeDocument/2006/relationships/hyperlink" Target="https://ich.unesco.org/en/8b-periodic-reporting-00921" TargetMode="External"/><Relationship Id="rId39" Type="http://schemas.openxmlformats.org/officeDocument/2006/relationships/hyperlink" Target="https://ich.unesco.org/doc/src/ITH-16-11.COM-9.a-EN.docx" TargetMode="External"/><Relationship Id="rId21" Type="http://schemas.openxmlformats.org/officeDocument/2006/relationships/hyperlink" Target="https://ich.unesco.org/doc/src/ITH-18-7.GA-8-AR.docx" TargetMode="External"/><Relationship Id="rId34" Type="http://schemas.openxmlformats.org/officeDocument/2006/relationships/hyperlink" Target="https://ich.unesco.org/doc/src/ITH-16-11.COM-9.a-FR.docx" TargetMode="External"/><Relationship Id="rId42" Type="http://schemas.openxmlformats.org/officeDocument/2006/relationships/hyperlink" Target="https://ich.unesco.org/doc/src/ITH-16-11.COM-9.a-EN.docx" TargetMode="External"/><Relationship Id="rId47" Type="http://schemas.openxmlformats.org/officeDocument/2006/relationships/hyperlink" Target="https://ich.unesco.org/en/Decisions/11.COM/10" TargetMode="External"/><Relationship Id="rId50" Type="http://schemas.openxmlformats.org/officeDocument/2006/relationships/header" Target="header1.xml"/><Relationship Id="rId7" Type="http://schemas.openxmlformats.org/officeDocument/2006/relationships/hyperlink" Target="https://ich.unesco.org/doc/src/ITH-18-7.GA-7-AR.docx" TargetMode="External"/><Relationship Id="rId2" Type="http://schemas.openxmlformats.org/officeDocument/2006/relationships/styles" Target="styles.xml"/><Relationship Id="rId16" Type="http://schemas.openxmlformats.org/officeDocument/2006/relationships/hyperlink" Target="https://ich.unesco.org/doc/src/ITH-17-12.COM-9-EN.docx" TargetMode="External"/><Relationship Id="rId29" Type="http://schemas.openxmlformats.org/officeDocument/2006/relationships/hyperlink" Target="https://ich.unesco.org/en/Decisions/11.COM/9.a" TargetMode="External"/><Relationship Id="rId11" Type="http://schemas.openxmlformats.org/officeDocument/2006/relationships/hyperlink" Target="https://ich.unesco.org/doc/src/ITH-16-11.COM-5-EN.docx" TargetMode="External"/><Relationship Id="rId24" Type="http://schemas.openxmlformats.org/officeDocument/2006/relationships/hyperlink" Target="http://www.unesco.org/culture/ich/index.php?lg=en&amp;pg=00022" TargetMode="External"/><Relationship Id="rId32" Type="http://schemas.openxmlformats.org/officeDocument/2006/relationships/hyperlink" Target="https://ich.unesco.org/en/Decisions/12.COM/8.c" TargetMode="External"/><Relationship Id="rId37" Type="http://schemas.openxmlformats.org/officeDocument/2006/relationships/hyperlink" Target="https://ich.unesco.org/doc/src/ITH-16-11.COM-9.a-FR.docx" TargetMode="External"/><Relationship Id="rId40" Type="http://schemas.openxmlformats.org/officeDocument/2006/relationships/hyperlink" Target="https://ich.unesco.org/doc/src/ITH-16-11.COM-9.a-FR.docx" TargetMode="External"/><Relationship Id="rId45" Type="http://schemas.openxmlformats.org/officeDocument/2006/relationships/hyperlink" Target="https://ich.unesco.org/en/Decisions/10.COM/15.c"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h.unesco.org/doc/src/ITH-16-11.COM-7-EN.docx" TargetMode="External"/><Relationship Id="rId19" Type="http://schemas.openxmlformats.org/officeDocument/2006/relationships/hyperlink" Target="https://ich.unesco.org/en/Decisions/11.COM/5" TargetMode="External"/><Relationship Id="rId31" Type="http://schemas.openxmlformats.org/officeDocument/2006/relationships/hyperlink" Target="https://ich.unesco.org/en/Decisions/12.COM/8.b" TargetMode="External"/><Relationship Id="rId44" Type="http://schemas.openxmlformats.org/officeDocument/2006/relationships/hyperlink" Target="https://ich.unesco.org/en/9a-periodic-reporting-00857"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h.unesco.org/en/Decisions/11.COM/7" TargetMode="External"/><Relationship Id="rId14" Type="http://schemas.openxmlformats.org/officeDocument/2006/relationships/hyperlink" Target="https://ich.unesco.org/doc/src/ITH-18-7.GA-7-AR.docx" TargetMode="External"/><Relationship Id="rId22" Type="http://schemas.openxmlformats.org/officeDocument/2006/relationships/hyperlink" Target="https://ich.unesco.org/doc/src/ITH-18-7.GA-INF.8-EN.docx" TargetMode="External"/><Relationship Id="rId27" Type="http://schemas.openxmlformats.org/officeDocument/2006/relationships/hyperlink" Target="https://ich.unesco.org/en/9b-periodic-reporting-usl-00858" TargetMode="External"/><Relationship Id="rId30" Type="http://schemas.openxmlformats.org/officeDocument/2006/relationships/hyperlink" Target="https://ich.unesco.org/en/Decisions/11.COM/9.b" TargetMode="External"/><Relationship Id="rId35" Type="http://schemas.openxmlformats.org/officeDocument/2006/relationships/hyperlink" Target="https://ich.unesco.org/en/9a-periodic-reporting-00857" TargetMode="External"/><Relationship Id="rId43" Type="http://schemas.openxmlformats.org/officeDocument/2006/relationships/hyperlink" Target="https://ich.unesco.org/doc/src/ITH-16-11.COM-9.a-FR.docx" TargetMode="External"/><Relationship Id="rId48" Type="http://schemas.openxmlformats.org/officeDocument/2006/relationships/hyperlink" Target="https://ich.unesco.org/doc/src/ITH-17-12.COM-13-EN.docx" TargetMode="External"/><Relationship Id="rId8" Type="http://schemas.openxmlformats.org/officeDocument/2006/relationships/hyperlink" Target="https://ich.unesco.org/doc/src/ITH-18-7.GA-INF.8-EN.docx"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ich.unesco.org/en/Decisions/10.COM/8" TargetMode="External"/><Relationship Id="rId17" Type="http://schemas.openxmlformats.org/officeDocument/2006/relationships/hyperlink" Target="https://ich.unesco.org/en/Decisions/10.COM/9" TargetMode="External"/><Relationship Id="rId25" Type="http://schemas.openxmlformats.org/officeDocument/2006/relationships/hyperlink" Target="https://ich.unesco.org/en/9a-periodic-reporting-00857" TargetMode="External"/><Relationship Id="rId33" Type="http://schemas.openxmlformats.org/officeDocument/2006/relationships/hyperlink" Target="https://ich.unesco.org/doc/src/ITH-16-11.COM-9.a-EN.docx" TargetMode="External"/><Relationship Id="rId38" Type="http://schemas.openxmlformats.org/officeDocument/2006/relationships/hyperlink" Target="https://ich.unesco.org/en/9a-periodic-reporting-00857" TargetMode="External"/><Relationship Id="rId46" Type="http://schemas.openxmlformats.org/officeDocument/2006/relationships/hyperlink" Target="https://ich.unesco.org/doc/src/ITH-17-12.COM-8.a-EN.docx" TargetMode="External"/><Relationship Id="rId20" Type="http://schemas.openxmlformats.org/officeDocument/2006/relationships/hyperlink" Target="https://ich.unesco.org/doc/src/ITH-18-7.GA-7-AR.docx" TargetMode="External"/><Relationship Id="rId41" Type="http://schemas.openxmlformats.org/officeDocument/2006/relationships/hyperlink" Target="https://ich.unesco.org/en/9a-periodic-reporting-0085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ch.unesco.org/doc/src/ITH-16-11.COM-14-EN.docx" TargetMode="External"/><Relationship Id="rId23" Type="http://schemas.openxmlformats.org/officeDocument/2006/relationships/hyperlink" Target="https://ich.unesco.org/en/Decisions/12.COM/6" TargetMode="External"/><Relationship Id="rId28" Type="http://schemas.openxmlformats.org/officeDocument/2006/relationships/hyperlink" Target="https://ich.unesco.org/en/8c-periodic-reporting-usl-00922" TargetMode="External"/><Relationship Id="rId36" Type="http://schemas.openxmlformats.org/officeDocument/2006/relationships/hyperlink" Target="https://ich.unesco.org/doc/src/ITH-16-11.COM-9.a-EN.docx" TargetMode="External"/><Relationship Id="rId49" Type="http://schemas.openxmlformats.org/officeDocument/2006/relationships/hyperlink" Target="https://ich.unesco.org/doc/src/ITH-17-12.COM-12-EN.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ITH-16-11.COM_2.BUR-1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2972</Words>
  <Characters>18950</Characters>
  <Application>Microsoft Office Word</Application>
  <DocSecurity>0</DocSecurity>
  <Lines>157</Lines>
  <Paragraphs>43</Paragraphs>
  <ScaleCrop>false</ScaleCrop>
  <HeadingPairs>
    <vt:vector size="2" baseType="variant">
      <vt:variant>
        <vt:lpstr>Titre</vt:lpstr>
      </vt:variant>
      <vt:variant>
        <vt:i4>1</vt:i4>
      </vt:variant>
    </vt:vector>
  </HeadingPairs>
  <TitlesOfParts>
    <vt:vector size="1" baseType="lpstr">
      <vt:lpstr>[محجوز للفيزا]</vt:lpstr>
    </vt:vector>
  </TitlesOfParts>
  <Company>UNESCO</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[محجوز للفيزا]</dc:title>
  <dc:creator>Shin, Eunkyung</dc:creator>
  <cp:lastModifiedBy>Shin, Eunkyung</cp:lastModifiedBy>
  <cp:revision>3</cp:revision>
  <cp:lastPrinted>2014-03-06T13:11:00Z</cp:lastPrinted>
  <dcterms:created xsi:type="dcterms:W3CDTF">2018-05-03T18:06:00Z</dcterms:created>
  <dcterms:modified xsi:type="dcterms:W3CDTF">2018-05-03T18:07:00Z</dcterms:modified>
</cp:coreProperties>
</file>