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736" w:rsidRPr="00414643" w:rsidRDefault="00655736" w:rsidP="00655736">
      <w:pPr>
        <w:spacing w:before="1440"/>
        <w:jc w:val="center"/>
        <w:rPr>
          <w:rFonts w:ascii="Arial" w:hAnsi="Arial" w:cs="Arial"/>
          <w:b/>
          <w:sz w:val="22"/>
          <w:szCs w:val="22"/>
        </w:rPr>
      </w:pPr>
      <w:r>
        <w:rPr>
          <w:rFonts w:ascii="Arial" w:hAnsi="Arial"/>
          <w:b/>
          <w:sz w:val="22"/>
          <w:szCs w:val="22"/>
        </w:rPr>
        <w:t>CONVENTION POUR LA SAUVEGARDE DU</w:t>
      </w:r>
      <w:bookmarkStart w:id="0" w:name="_GoBack"/>
      <w:bookmarkEnd w:id="0"/>
      <w:r>
        <w:rPr>
          <w:rFonts w:ascii="Arial" w:hAnsi="Arial"/>
          <w:b/>
          <w:sz w:val="22"/>
          <w:szCs w:val="22"/>
        </w:rPr>
        <w:br/>
        <w:t>PATRIMOINE CULTUREL IMMATÉRIEL</w:t>
      </w:r>
    </w:p>
    <w:p w:rsidR="00655736" w:rsidRPr="00414643" w:rsidRDefault="00D95C4C" w:rsidP="00655736">
      <w:pPr>
        <w:spacing w:before="1200"/>
        <w:jc w:val="center"/>
        <w:rPr>
          <w:rFonts w:ascii="Arial" w:hAnsi="Arial" w:cs="Arial"/>
          <w:b/>
          <w:sz w:val="22"/>
          <w:szCs w:val="22"/>
        </w:rPr>
      </w:pPr>
      <w:r>
        <w:rPr>
          <w:rFonts w:ascii="Arial" w:hAnsi="Arial"/>
          <w:b/>
          <w:sz w:val="22"/>
          <w:szCs w:val="22"/>
        </w:rPr>
        <w:t>ASSEMBLÉE GÉNÉRALE DES ÉTATS PARTIES À LA CONVENTION</w:t>
      </w:r>
    </w:p>
    <w:p w:rsidR="00D95C4C" w:rsidRPr="00FD624F" w:rsidRDefault="002D02C0" w:rsidP="00D95C4C">
      <w:pPr>
        <w:spacing w:before="840"/>
        <w:jc w:val="center"/>
        <w:rPr>
          <w:rFonts w:ascii="Arial" w:hAnsi="Arial" w:cs="Arial"/>
          <w:b/>
          <w:sz w:val="22"/>
          <w:szCs w:val="22"/>
        </w:rPr>
      </w:pPr>
      <w:r>
        <w:rPr>
          <w:rFonts w:ascii="Arial" w:hAnsi="Arial"/>
          <w:b/>
          <w:sz w:val="22"/>
          <w:szCs w:val="22"/>
        </w:rPr>
        <w:t>Septième session</w:t>
      </w:r>
    </w:p>
    <w:p w:rsidR="00D95C4C" w:rsidRPr="00FD624F" w:rsidRDefault="00D95C4C" w:rsidP="00D95C4C">
      <w:pPr>
        <w:jc w:val="center"/>
        <w:rPr>
          <w:rFonts w:ascii="Arial" w:hAnsi="Arial" w:cs="Arial"/>
          <w:b/>
          <w:sz w:val="22"/>
          <w:szCs w:val="22"/>
        </w:rPr>
      </w:pPr>
      <w:r>
        <w:rPr>
          <w:rFonts w:ascii="Arial" w:hAnsi="Arial"/>
          <w:b/>
          <w:sz w:val="22"/>
          <w:szCs w:val="22"/>
        </w:rPr>
        <w:t>Siège de l</w:t>
      </w:r>
      <w:r w:rsidR="001472DB">
        <w:rPr>
          <w:rFonts w:ascii="Arial" w:hAnsi="Arial"/>
          <w:b/>
          <w:sz w:val="22"/>
          <w:szCs w:val="22"/>
        </w:rPr>
        <w:t>’</w:t>
      </w:r>
      <w:r>
        <w:rPr>
          <w:rFonts w:ascii="Arial" w:hAnsi="Arial"/>
          <w:b/>
          <w:sz w:val="22"/>
          <w:szCs w:val="22"/>
        </w:rPr>
        <w:t>UNESCO, Salle II</w:t>
      </w:r>
    </w:p>
    <w:p w:rsidR="00655736" w:rsidRPr="00414643" w:rsidRDefault="002D02C0" w:rsidP="00D95C4C">
      <w:pPr>
        <w:jc w:val="center"/>
        <w:rPr>
          <w:rFonts w:ascii="Arial" w:hAnsi="Arial" w:cs="Arial"/>
          <w:b/>
          <w:sz w:val="22"/>
          <w:szCs w:val="22"/>
        </w:rPr>
      </w:pPr>
      <w:r>
        <w:rPr>
          <w:rFonts w:ascii="Arial" w:hAnsi="Arial"/>
          <w:b/>
          <w:sz w:val="22"/>
          <w:szCs w:val="22"/>
        </w:rPr>
        <w:t>4 – 6 juin 2018</w:t>
      </w:r>
    </w:p>
    <w:p w:rsidR="00655736" w:rsidRPr="00414643" w:rsidRDefault="00655736" w:rsidP="00655736">
      <w:pPr>
        <w:pStyle w:val="Sansinterligne2"/>
        <w:spacing w:before="1200"/>
        <w:jc w:val="center"/>
        <w:rPr>
          <w:rFonts w:ascii="Arial" w:hAnsi="Arial" w:cs="Arial"/>
          <w:b/>
          <w:sz w:val="22"/>
          <w:szCs w:val="22"/>
        </w:rPr>
      </w:pPr>
      <w:r>
        <w:rPr>
          <w:rFonts w:ascii="Arial" w:hAnsi="Arial"/>
          <w:b/>
          <w:sz w:val="22"/>
          <w:szCs w:val="22"/>
          <w:u w:val="single"/>
        </w:rPr>
        <w:t>Point 4 de l</w:t>
      </w:r>
      <w:r w:rsidR="001472DB">
        <w:rPr>
          <w:rFonts w:ascii="Arial" w:hAnsi="Arial"/>
          <w:b/>
          <w:sz w:val="22"/>
          <w:szCs w:val="22"/>
          <w:u w:val="single"/>
        </w:rPr>
        <w:t>’</w:t>
      </w:r>
      <w:r>
        <w:rPr>
          <w:rFonts w:ascii="Arial" w:hAnsi="Arial"/>
          <w:b/>
          <w:sz w:val="22"/>
          <w:szCs w:val="22"/>
          <w:u w:val="single"/>
        </w:rPr>
        <w:t>ordre du jour provisoire :</w:t>
      </w:r>
    </w:p>
    <w:p w:rsidR="00655736" w:rsidRPr="00414643" w:rsidRDefault="00F26618" w:rsidP="00655736">
      <w:pPr>
        <w:pStyle w:val="Sansinterligne2"/>
        <w:spacing w:after="1200"/>
        <w:jc w:val="center"/>
        <w:rPr>
          <w:rFonts w:ascii="Arial" w:hAnsi="Arial" w:cs="Arial"/>
          <w:b/>
          <w:sz w:val="22"/>
          <w:szCs w:val="22"/>
        </w:rPr>
      </w:pPr>
      <w:r>
        <w:rPr>
          <w:rFonts w:ascii="Arial" w:hAnsi="Arial"/>
          <w:b/>
          <w:sz w:val="22"/>
          <w:szCs w:val="22"/>
        </w:rPr>
        <w:t>Distribution des sièges au Comité par groupe électoral</w:t>
      </w:r>
    </w:p>
    <w:tbl>
      <w:tblPr>
        <w:tblW w:w="5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655736" w:rsidRPr="00F26618" w:rsidTr="00A81852">
        <w:trPr>
          <w:jc w:val="center"/>
        </w:trPr>
        <w:tc>
          <w:tcPr>
            <w:tcW w:w="5669" w:type="dxa"/>
            <w:vAlign w:val="center"/>
          </w:tcPr>
          <w:p w:rsidR="0057439C" w:rsidRPr="00414643" w:rsidRDefault="0057439C" w:rsidP="005B7A35">
            <w:pPr>
              <w:pStyle w:val="Sansinterligne1"/>
              <w:spacing w:before="200" w:after="200"/>
              <w:jc w:val="center"/>
              <w:rPr>
                <w:rFonts w:ascii="Arial" w:hAnsi="Arial" w:cs="Arial"/>
                <w:b/>
                <w:sz w:val="22"/>
                <w:szCs w:val="22"/>
              </w:rPr>
            </w:pPr>
            <w:r>
              <w:rPr>
                <w:rFonts w:ascii="Arial" w:hAnsi="Arial"/>
                <w:b/>
                <w:sz w:val="22"/>
                <w:szCs w:val="22"/>
              </w:rPr>
              <w:t>Résumé</w:t>
            </w:r>
          </w:p>
          <w:p w:rsidR="00523789" w:rsidRDefault="00523789" w:rsidP="00523789">
            <w:pPr>
              <w:pStyle w:val="Sansinterligne1"/>
              <w:spacing w:after="120"/>
              <w:jc w:val="both"/>
              <w:rPr>
                <w:rFonts w:ascii="Arial" w:hAnsi="Arial" w:cs="Arial"/>
                <w:sz w:val="22"/>
                <w:szCs w:val="22"/>
              </w:rPr>
            </w:pPr>
            <w:r>
              <w:rPr>
                <w:rFonts w:ascii="Arial" w:hAnsi="Arial"/>
                <w:sz w:val="22"/>
                <w:szCs w:val="22"/>
              </w:rPr>
              <w:t>L</w:t>
            </w:r>
            <w:r w:rsidR="001472DB">
              <w:rPr>
                <w:rFonts w:ascii="Arial" w:hAnsi="Arial"/>
                <w:sz w:val="22"/>
                <w:szCs w:val="22"/>
              </w:rPr>
              <w:t>’</w:t>
            </w:r>
            <w:r>
              <w:rPr>
                <w:rFonts w:ascii="Arial" w:hAnsi="Arial"/>
                <w:sz w:val="22"/>
                <w:szCs w:val="22"/>
              </w:rPr>
              <w:t>article 13.2 (ii) du Règlement intérieur de l</w:t>
            </w:r>
            <w:r w:rsidR="001472DB">
              <w:rPr>
                <w:rFonts w:ascii="Arial" w:hAnsi="Arial"/>
                <w:sz w:val="22"/>
                <w:szCs w:val="22"/>
              </w:rPr>
              <w:t>’</w:t>
            </w:r>
            <w:r>
              <w:rPr>
                <w:rFonts w:ascii="Arial" w:hAnsi="Arial"/>
                <w:sz w:val="22"/>
                <w:szCs w:val="22"/>
              </w:rPr>
              <w:t>Assemblée générale des États parties à la Convention stipule que les vingt-quatre sièges du Comité doivent être répartis entre les groupes électoraux au prorata du nombre d</w:t>
            </w:r>
            <w:r w:rsidR="001472DB">
              <w:rPr>
                <w:rFonts w:ascii="Arial" w:hAnsi="Arial"/>
                <w:sz w:val="22"/>
                <w:szCs w:val="22"/>
              </w:rPr>
              <w:t>’</w:t>
            </w:r>
            <w:r>
              <w:rPr>
                <w:rFonts w:ascii="Arial" w:hAnsi="Arial"/>
                <w:sz w:val="22"/>
                <w:szCs w:val="22"/>
              </w:rPr>
              <w:t>États parties de chaque groupe électoral, étant entendu qu</w:t>
            </w:r>
            <w:r w:rsidR="001472DB">
              <w:rPr>
                <w:rFonts w:ascii="Arial" w:hAnsi="Arial"/>
                <w:sz w:val="22"/>
                <w:szCs w:val="22"/>
              </w:rPr>
              <w:t>’</w:t>
            </w:r>
            <w:r>
              <w:rPr>
                <w:rFonts w:ascii="Arial" w:hAnsi="Arial"/>
                <w:sz w:val="22"/>
                <w:szCs w:val="22"/>
              </w:rPr>
              <w:t>au terme de cette répartition un minimum de trois sièges est attribué à chacun des groupes. De plus, par sa résolution 3.GA 12, l</w:t>
            </w:r>
            <w:r w:rsidR="001472DB">
              <w:rPr>
                <w:rFonts w:ascii="Arial" w:hAnsi="Arial"/>
                <w:sz w:val="22"/>
                <w:szCs w:val="22"/>
              </w:rPr>
              <w:t>’</w:t>
            </w:r>
            <w:r>
              <w:rPr>
                <w:rFonts w:ascii="Arial" w:hAnsi="Arial"/>
                <w:sz w:val="22"/>
                <w:szCs w:val="22"/>
              </w:rPr>
              <w:t>Assemblée générale a décidé que l</w:t>
            </w:r>
            <w:r w:rsidR="001472DB">
              <w:rPr>
                <w:rFonts w:ascii="Arial" w:hAnsi="Arial"/>
                <w:sz w:val="22"/>
                <w:szCs w:val="22"/>
              </w:rPr>
              <w:t>’</w:t>
            </w:r>
            <w:r>
              <w:rPr>
                <w:rFonts w:ascii="Arial" w:hAnsi="Arial"/>
                <w:sz w:val="22"/>
                <w:szCs w:val="22"/>
              </w:rPr>
              <w:t>article 13.2 devait être rigoureusement appliqué pour les futures élections, strictement sur la base des calculs mathématiques.</w:t>
            </w:r>
          </w:p>
          <w:p w:rsidR="00655736" w:rsidRPr="00414643" w:rsidRDefault="0057439C" w:rsidP="005B7A35">
            <w:pPr>
              <w:pStyle w:val="Sansinterligne2"/>
              <w:spacing w:after="120"/>
              <w:jc w:val="both"/>
              <w:rPr>
                <w:rFonts w:ascii="Arial" w:hAnsi="Arial" w:cs="Arial"/>
                <w:b/>
                <w:sz w:val="22"/>
                <w:szCs w:val="22"/>
              </w:rPr>
            </w:pPr>
            <w:r>
              <w:rPr>
                <w:rFonts w:ascii="Arial" w:hAnsi="Arial"/>
                <w:b/>
                <w:sz w:val="22"/>
                <w:szCs w:val="22"/>
              </w:rPr>
              <w:t xml:space="preserve">Décision requise : </w:t>
            </w:r>
            <w:r>
              <w:rPr>
                <w:rFonts w:ascii="Arial" w:hAnsi="Arial"/>
                <w:bCs/>
                <w:sz w:val="22"/>
                <w:szCs w:val="22"/>
              </w:rPr>
              <w:t>paragraphe 5</w:t>
            </w:r>
          </w:p>
        </w:tc>
      </w:tr>
    </w:tbl>
    <w:p w:rsidR="008B713F" w:rsidRPr="003C2913" w:rsidRDefault="008B713F" w:rsidP="00C21573">
      <w:pPr>
        <w:pStyle w:val="GAPara"/>
        <w:pageBreakBefore/>
        <w:jc w:val="both"/>
      </w:pPr>
      <w:r>
        <w:lastRenderedPageBreak/>
        <w:t>Conformément à l</w:t>
      </w:r>
      <w:r w:rsidR="001472DB">
        <w:t>’</w:t>
      </w:r>
      <w:r>
        <w:t>alinéa (ii) de l</w:t>
      </w:r>
      <w:r w:rsidR="001472DB">
        <w:t>’</w:t>
      </w:r>
      <w:r>
        <w:t>article 13.2 du Règlement intérieur de l</w:t>
      </w:r>
      <w:r w:rsidR="001472DB">
        <w:t>’</w:t>
      </w:r>
      <w:r>
        <w:t>Assemblée générale des États parties à la Convention, les vingt-quatre sièges du Comité doivent être répartis entre les groupes électoraux au prorata du nombre d</w:t>
      </w:r>
      <w:r w:rsidR="001472DB">
        <w:t>’</w:t>
      </w:r>
      <w:r>
        <w:t>États parties de chaque groupe électoral, étant entendu qu</w:t>
      </w:r>
      <w:r w:rsidR="001472DB">
        <w:t>’</w:t>
      </w:r>
      <w:r>
        <w:t>au terme de cette répartition un minimum de trois sièges est attribué à chacun des groupes.</w:t>
      </w:r>
    </w:p>
    <w:p w:rsidR="008B713F" w:rsidRPr="003C2913" w:rsidRDefault="008B713F" w:rsidP="008B713F">
      <w:pPr>
        <w:pStyle w:val="GAPara"/>
        <w:spacing w:after="240"/>
        <w:jc w:val="both"/>
      </w:pPr>
      <w:r>
        <w:t xml:space="preserve">Au 6 mars 2018, les </w:t>
      </w:r>
      <w:r w:rsidRPr="003A6E61">
        <w:t>177</w:t>
      </w:r>
      <w:r>
        <w:t> États ci-après avaient déposé leurs instruments respectifs de ratification, d</w:t>
      </w:r>
      <w:r w:rsidR="001472DB">
        <w:t>’</w:t>
      </w:r>
      <w:r>
        <w:t>acceptation, d</w:t>
      </w:r>
      <w:r w:rsidR="001472DB">
        <w:t>’</w:t>
      </w:r>
      <w:r>
        <w:t>approbation ou d</w:t>
      </w:r>
      <w:r w:rsidR="001472DB">
        <w:t>’</w:t>
      </w:r>
      <w:r>
        <w:t>adhésion ; et ils seront donc États parties à la Convention au moment de l</w:t>
      </w:r>
      <w:r w:rsidR="001472DB">
        <w:t>’</w:t>
      </w:r>
      <w:r>
        <w:t>élection des membres du Comité le 6 juin 2018.</w:t>
      </w:r>
    </w:p>
    <w:tbl>
      <w:tblPr>
        <w:tblW w:w="465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450"/>
        <w:gridCol w:w="7005"/>
      </w:tblGrid>
      <w:tr w:rsidR="004C58F9" w:rsidRPr="00E238A1" w:rsidTr="004C58F9">
        <w:tc>
          <w:tcPr>
            <w:tcW w:w="844" w:type="pct"/>
            <w:tcBorders>
              <w:bottom w:val="single" w:sz="4" w:space="0" w:color="auto"/>
            </w:tcBorders>
            <w:shd w:val="clear" w:color="auto" w:fill="F3F3F3"/>
            <w:vAlign w:val="center"/>
          </w:tcPr>
          <w:p w:rsidR="004C58F9" w:rsidRPr="003C2913" w:rsidRDefault="004C58F9" w:rsidP="004C58F9">
            <w:pPr>
              <w:pStyle w:val="Marge"/>
              <w:spacing w:before="240"/>
              <w:jc w:val="left"/>
              <w:rPr>
                <w:rFonts w:cs="Arial"/>
                <w:b/>
                <w:spacing w:val="-3"/>
                <w:sz w:val="20"/>
                <w:szCs w:val="22"/>
              </w:rPr>
            </w:pPr>
            <w:r>
              <w:rPr>
                <w:b/>
                <w:sz w:val="20"/>
                <w:szCs w:val="22"/>
              </w:rPr>
              <w:t>Groupe I</w:t>
            </w:r>
          </w:p>
        </w:tc>
        <w:tc>
          <w:tcPr>
            <w:tcW w:w="251" w:type="pct"/>
            <w:vAlign w:val="center"/>
          </w:tcPr>
          <w:p w:rsidR="004C58F9" w:rsidRPr="003C2913" w:rsidRDefault="004C58F9" w:rsidP="004C58F9">
            <w:pPr>
              <w:pStyle w:val="Marge"/>
              <w:spacing w:before="60" w:after="60"/>
              <w:jc w:val="left"/>
              <w:rPr>
                <w:sz w:val="20"/>
                <w:szCs w:val="22"/>
              </w:rPr>
            </w:pPr>
            <w:r>
              <w:rPr>
                <w:sz w:val="20"/>
                <w:szCs w:val="22"/>
              </w:rPr>
              <w:t>22</w:t>
            </w:r>
          </w:p>
        </w:tc>
        <w:tc>
          <w:tcPr>
            <w:tcW w:w="3905" w:type="pct"/>
          </w:tcPr>
          <w:p w:rsidR="004C58F9" w:rsidRPr="001472DB" w:rsidRDefault="00C461AE" w:rsidP="004C58F9">
            <w:pPr>
              <w:tabs>
                <w:tab w:val="left" w:pos="567"/>
              </w:tabs>
              <w:snapToGrid w:val="0"/>
              <w:spacing w:before="60" w:after="60"/>
              <w:jc w:val="both"/>
              <w:rPr>
                <w:rFonts w:ascii="Arial" w:hAnsi="Arial" w:cs="Arial"/>
                <w:snapToGrid w:val="0"/>
                <w:spacing w:val="-3"/>
                <w:sz w:val="20"/>
                <w:szCs w:val="22"/>
              </w:rPr>
            </w:pPr>
            <w:r w:rsidRPr="001472DB">
              <w:rPr>
                <w:rFonts w:ascii="Arial" w:hAnsi="Arial"/>
                <w:snapToGrid w:val="0"/>
                <w:sz w:val="20"/>
                <w:szCs w:val="22"/>
              </w:rPr>
              <w:t>Allemagne, Andorre, Autriche, Belgique, Chypre, Danemark, Espagne, Finlande, France, Grèce, Irlande, Islande, Italie, Luxembourg, Malte, Monaco, Norvège, Pays-Bas, Portugal, Suède, Suisse, Turquie</w:t>
            </w:r>
          </w:p>
        </w:tc>
      </w:tr>
      <w:tr w:rsidR="004C58F9" w:rsidRPr="00E238A1" w:rsidTr="004C58F9">
        <w:tc>
          <w:tcPr>
            <w:tcW w:w="844" w:type="pct"/>
            <w:tcBorders>
              <w:top w:val="single" w:sz="4" w:space="0" w:color="auto"/>
              <w:bottom w:val="single" w:sz="4" w:space="0" w:color="auto"/>
            </w:tcBorders>
            <w:shd w:val="clear" w:color="auto" w:fill="F3F3F3"/>
            <w:vAlign w:val="center"/>
          </w:tcPr>
          <w:p w:rsidR="004C58F9" w:rsidRPr="003C2913" w:rsidRDefault="004C58F9" w:rsidP="004C58F9">
            <w:pPr>
              <w:pStyle w:val="Marge"/>
              <w:spacing w:before="240"/>
              <w:jc w:val="left"/>
              <w:rPr>
                <w:rFonts w:cs="Arial"/>
                <w:b/>
                <w:spacing w:val="-3"/>
                <w:sz w:val="20"/>
                <w:szCs w:val="22"/>
              </w:rPr>
            </w:pPr>
            <w:r>
              <w:rPr>
                <w:b/>
                <w:sz w:val="20"/>
                <w:szCs w:val="22"/>
              </w:rPr>
              <w:t>Groupe II</w:t>
            </w:r>
          </w:p>
        </w:tc>
        <w:tc>
          <w:tcPr>
            <w:tcW w:w="251" w:type="pct"/>
            <w:vAlign w:val="center"/>
          </w:tcPr>
          <w:p w:rsidR="004C58F9" w:rsidRPr="003C2913" w:rsidRDefault="004C58F9" w:rsidP="004C58F9">
            <w:pPr>
              <w:pStyle w:val="Marge"/>
              <w:spacing w:before="60" w:after="60"/>
              <w:jc w:val="left"/>
              <w:rPr>
                <w:sz w:val="20"/>
                <w:szCs w:val="22"/>
              </w:rPr>
            </w:pPr>
            <w:r>
              <w:rPr>
                <w:sz w:val="20"/>
                <w:szCs w:val="22"/>
              </w:rPr>
              <w:t>24</w:t>
            </w:r>
          </w:p>
        </w:tc>
        <w:tc>
          <w:tcPr>
            <w:tcW w:w="3905" w:type="pct"/>
          </w:tcPr>
          <w:p w:rsidR="004C58F9" w:rsidRPr="001472DB" w:rsidRDefault="00C461AE" w:rsidP="00812F70">
            <w:pPr>
              <w:tabs>
                <w:tab w:val="left" w:pos="567"/>
              </w:tabs>
              <w:snapToGrid w:val="0"/>
              <w:spacing w:before="60" w:after="60"/>
              <w:jc w:val="both"/>
              <w:rPr>
                <w:rFonts w:ascii="Arial" w:hAnsi="Arial" w:cs="Arial"/>
                <w:snapToGrid w:val="0"/>
                <w:spacing w:val="-3"/>
                <w:sz w:val="20"/>
                <w:szCs w:val="22"/>
              </w:rPr>
            </w:pPr>
            <w:r w:rsidRPr="001472DB">
              <w:rPr>
                <w:rFonts w:ascii="Arial" w:hAnsi="Arial"/>
                <w:snapToGrid w:val="0"/>
                <w:sz w:val="20"/>
                <w:szCs w:val="22"/>
              </w:rPr>
              <w:t xml:space="preserve">Albanie, Arménie, Azerbaïdjan, Bélarus, Bosnie-Herzégovine, Bulgarie, Croatie, Estonie, ex-République yougoslave de Macédoine, Géorgie, Hongrie, Lettonie, Lituanie, Monténégro, Ouzbékistan, Pologne, République de Moldova, Roumanie, Serbie, Slovaquie, Slovénie, Tadjikistan, </w:t>
            </w:r>
            <w:r w:rsidR="00812F70" w:rsidRPr="001472DB">
              <w:rPr>
                <w:rFonts w:ascii="Arial" w:hAnsi="Arial"/>
                <w:snapToGrid w:val="0"/>
                <w:sz w:val="20"/>
                <w:szCs w:val="22"/>
              </w:rPr>
              <w:t>T</w:t>
            </w:r>
            <w:r w:rsidR="007213B9" w:rsidRPr="001472DB">
              <w:rPr>
                <w:rFonts w:ascii="Arial" w:hAnsi="Arial"/>
                <w:snapToGrid w:val="0"/>
                <w:sz w:val="20"/>
                <w:szCs w:val="22"/>
              </w:rPr>
              <w:t>ch</w:t>
            </w:r>
            <w:r w:rsidR="00812F70" w:rsidRPr="001472DB">
              <w:rPr>
                <w:rFonts w:ascii="Arial" w:hAnsi="Arial"/>
                <w:snapToGrid w:val="0"/>
                <w:sz w:val="20"/>
                <w:szCs w:val="22"/>
              </w:rPr>
              <w:t>é</w:t>
            </w:r>
            <w:r w:rsidR="007213B9" w:rsidRPr="001472DB">
              <w:rPr>
                <w:rFonts w:ascii="Arial" w:hAnsi="Arial"/>
                <w:snapToGrid w:val="0"/>
                <w:sz w:val="20"/>
                <w:szCs w:val="22"/>
              </w:rPr>
              <w:t>qu</w:t>
            </w:r>
            <w:r w:rsidR="00812F70" w:rsidRPr="001472DB">
              <w:rPr>
                <w:rFonts w:ascii="Arial" w:hAnsi="Arial"/>
                <w:snapToGrid w:val="0"/>
                <w:sz w:val="20"/>
                <w:szCs w:val="22"/>
              </w:rPr>
              <w:t>i</w:t>
            </w:r>
            <w:r w:rsidR="007213B9" w:rsidRPr="001472DB">
              <w:rPr>
                <w:rFonts w:ascii="Arial" w:hAnsi="Arial"/>
                <w:snapToGrid w:val="0"/>
                <w:sz w:val="20"/>
                <w:szCs w:val="22"/>
              </w:rPr>
              <w:t xml:space="preserve">e, </w:t>
            </w:r>
            <w:r w:rsidRPr="001472DB">
              <w:rPr>
                <w:rFonts w:ascii="Arial" w:hAnsi="Arial"/>
                <w:snapToGrid w:val="0"/>
                <w:sz w:val="20"/>
                <w:szCs w:val="22"/>
              </w:rPr>
              <w:t>Ukraine</w:t>
            </w:r>
          </w:p>
        </w:tc>
      </w:tr>
      <w:tr w:rsidR="004C58F9" w:rsidRPr="00E238A1" w:rsidTr="004C58F9">
        <w:tc>
          <w:tcPr>
            <w:tcW w:w="844" w:type="pct"/>
            <w:tcBorders>
              <w:top w:val="single" w:sz="4" w:space="0" w:color="auto"/>
              <w:bottom w:val="single" w:sz="4" w:space="0" w:color="auto"/>
            </w:tcBorders>
            <w:shd w:val="clear" w:color="auto" w:fill="F3F3F3"/>
            <w:vAlign w:val="center"/>
          </w:tcPr>
          <w:p w:rsidR="004C58F9" w:rsidRPr="003C2913" w:rsidRDefault="004C58F9" w:rsidP="004C58F9">
            <w:pPr>
              <w:pStyle w:val="Marge"/>
              <w:spacing w:before="240"/>
              <w:jc w:val="left"/>
              <w:rPr>
                <w:rFonts w:cs="Arial"/>
                <w:b/>
                <w:spacing w:val="-3"/>
                <w:sz w:val="20"/>
                <w:szCs w:val="22"/>
              </w:rPr>
            </w:pPr>
            <w:r>
              <w:rPr>
                <w:b/>
                <w:sz w:val="20"/>
                <w:szCs w:val="22"/>
              </w:rPr>
              <w:t>Groupe III</w:t>
            </w:r>
          </w:p>
        </w:tc>
        <w:tc>
          <w:tcPr>
            <w:tcW w:w="251" w:type="pct"/>
            <w:vAlign w:val="center"/>
          </w:tcPr>
          <w:p w:rsidR="004C58F9" w:rsidRPr="003C2913" w:rsidRDefault="004C58F9" w:rsidP="004C58F9">
            <w:pPr>
              <w:pStyle w:val="Marge"/>
              <w:spacing w:before="60" w:after="60"/>
              <w:jc w:val="left"/>
              <w:rPr>
                <w:sz w:val="20"/>
                <w:szCs w:val="22"/>
              </w:rPr>
            </w:pPr>
            <w:r>
              <w:rPr>
                <w:sz w:val="20"/>
                <w:szCs w:val="22"/>
              </w:rPr>
              <w:t>32</w:t>
            </w:r>
          </w:p>
        </w:tc>
        <w:tc>
          <w:tcPr>
            <w:tcW w:w="3905" w:type="pct"/>
          </w:tcPr>
          <w:p w:rsidR="004C58F9" w:rsidRPr="001472DB" w:rsidRDefault="00C461AE" w:rsidP="004C58F9">
            <w:pPr>
              <w:tabs>
                <w:tab w:val="left" w:pos="567"/>
              </w:tabs>
              <w:snapToGrid w:val="0"/>
              <w:spacing w:before="60" w:after="60"/>
              <w:jc w:val="both"/>
              <w:rPr>
                <w:rFonts w:ascii="Arial" w:hAnsi="Arial" w:cs="Arial"/>
                <w:snapToGrid w:val="0"/>
                <w:spacing w:val="-3"/>
                <w:sz w:val="20"/>
                <w:szCs w:val="22"/>
              </w:rPr>
            </w:pPr>
            <w:r w:rsidRPr="001472DB">
              <w:rPr>
                <w:rFonts w:ascii="Arial" w:hAnsi="Arial"/>
                <w:snapToGrid w:val="0"/>
                <w:sz w:val="20"/>
                <w:szCs w:val="22"/>
              </w:rPr>
              <w:t>Antigua-et-Barbuda, Argentine, Bahamas, Barbade, Belize, Bolivie (État plurinational de), Brésil, Chili, Colombie, Costa Rica, Cuba, Dominique, El Salvador, Équateur, Grenade, Guatemala, Haïti, Honduras, Jamaïque, Mexique, Nicaragua, Panama, Paraguay, Pérou, République dominicaine, Saint-Kitts-et-Nevis, Sainte-Lucie, Saint-Vincent-et-les Grenadines, Suriname, Trinité-et-Tobago, Uruguay, Venezuela (République bolivarienne du)</w:t>
            </w:r>
          </w:p>
        </w:tc>
      </w:tr>
      <w:tr w:rsidR="004C58F9" w:rsidRPr="00E238A1" w:rsidTr="004C58F9">
        <w:tc>
          <w:tcPr>
            <w:tcW w:w="844" w:type="pct"/>
            <w:tcBorders>
              <w:top w:val="single" w:sz="4" w:space="0" w:color="auto"/>
              <w:bottom w:val="single" w:sz="4" w:space="0" w:color="auto"/>
            </w:tcBorders>
            <w:shd w:val="clear" w:color="auto" w:fill="F3F3F3"/>
            <w:vAlign w:val="center"/>
          </w:tcPr>
          <w:p w:rsidR="004C58F9" w:rsidRPr="003C2913" w:rsidRDefault="004C58F9" w:rsidP="004C58F9">
            <w:pPr>
              <w:pStyle w:val="Marge"/>
              <w:spacing w:before="240"/>
              <w:jc w:val="left"/>
              <w:rPr>
                <w:rFonts w:cs="Arial"/>
                <w:b/>
                <w:spacing w:val="-3"/>
                <w:sz w:val="20"/>
                <w:szCs w:val="22"/>
              </w:rPr>
            </w:pPr>
            <w:r>
              <w:rPr>
                <w:b/>
                <w:sz w:val="20"/>
                <w:szCs w:val="22"/>
              </w:rPr>
              <w:t>Groupe IV</w:t>
            </w:r>
          </w:p>
        </w:tc>
        <w:tc>
          <w:tcPr>
            <w:tcW w:w="251" w:type="pct"/>
            <w:vAlign w:val="center"/>
          </w:tcPr>
          <w:p w:rsidR="004C58F9" w:rsidRPr="003C2913" w:rsidRDefault="004C58F9" w:rsidP="004C58F9">
            <w:pPr>
              <w:pStyle w:val="Marge"/>
              <w:spacing w:before="60" w:after="60"/>
              <w:jc w:val="left"/>
              <w:rPr>
                <w:sz w:val="20"/>
                <w:szCs w:val="22"/>
              </w:rPr>
            </w:pPr>
            <w:r>
              <w:rPr>
                <w:sz w:val="20"/>
                <w:szCs w:val="22"/>
              </w:rPr>
              <w:t>39</w:t>
            </w:r>
          </w:p>
        </w:tc>
        <w:tc>
          <w:tcPr>
            <w:tcW w:w="3905" w:type="pct"/>
          </w:tcPr>
          <w:p w:rsidR="004C58F9" w:rsidRPr="001472DB" w:rsidRDefault="00C461AE">
            <w:pPr>
              <w:tabs>
                <w:tab w:val="left" w:pos="567"/>
              </w:tabs>
              <w:snapToGrid w:val="0"/>
              <w:spacing w:before="60" w:after="60"/>
              <w:jc w:val="both"/>
              <w:rPr>
                <w:rFonts w:ascii="Arial" w:hAnsi="Arial" w:cs="Arial"/>
                <w:snapToGrid w:val="0"/>
                <w:spacing w:val="-3"/>
                <w:sz w:val="20"/>
                <w:szCs w:val="22"/>
              </w:rPr>
            </w:pPr>
            <w:r w:rsidRPr="001472DB">
              <w:rPr>
                <w:rFonts w:ascii="Arial" w:hAnsi="Arial"/>
                <w:snapToGrid w:val="0"/>
                <w:sz w:val="20"/>
                <w:szCs w:val="22"/>
              </w:rPr>
              <w:t xml:space="preserve">Afghanistan, </w:t>
            </w:r>
            <w:r w:rsidRPr="001472DB">
              <w:rPr>
                <w:rFonts w:ascii="Arial" w:hAnsi="Arial"/>
                <w:snapToGrid w:val="0"/>
                <w:color w:val="000000"/>
                <w:sz w:val="20"/>
                <w:szCs w:val="22"/>
              </w:rPr>
              <w:t xml:space="preserve">Bangladesh, </w:t>
            </w:r>
            <w:r w:rsidRPr="001472DB">
              <w:rPr>
                <w:rFonts w:ascii="Arial" w:hAnsi="Arial"/>
                <w:snapToGrid w:val="0"/>
                <w:sz w:val="20"/>
                <w:szCs w:val="22"/>
              </w:rPr>
              <w:t xml:space="preserve">Bhoutan, Brunéi Darussalam, Cambodge, </w:t>
            </w:r>
            <w:r w:rsidRPr="001472DB">
              <w:rPr>
                <w:rFonts w:ascii="Arial" w:hAnsi="Arial"/>
                <w:snapToGrid w:val="0"/>
                <w:color w:val="000000"/>
                <w:sz w:val="20"/>
                <w:szCs w:val="22"/>
              </w:rPr>
              <w:t xml:space="preserve">Chine, Fidji, Îles Cook, </w:t>
            </w:r>
            <w:r w:rsidRPr="001472DB">
              <w:rPr>
                <w:rFonts w:ascii="Arial" w:hAnsi="Arial"/>
                <w:snapToGrid w:val="0"/>
                <w:sz w:val="20"/>
                <w:szCs w:val="22"/>
              </w:rPr>
              <w:t>Îles Marshall, Inde, Indonésie, Iran (République islamique d</w:t>
            </w:r>
            <w:r w:rsidR="001472DB" w:rsidRPr="001472DB">
              <w:rPr>
                <w:rFonts w:ascii="Arial" w:hAnsi="Arial"/>
                <w:snapToGrid w:val="0"/>
                <w:sz w:val="20"/>
                <w:szCs w:val="22"/>
              </w:rPr>
              <w:t>’</w:t>
            </w:r>
            <w:r w:rsidRPr="001472DB">
              <w:rPr>
                <w:rFonts w:ascii="Arial" w:hAnsi="Arial"/>
                <w:snapToGrid w:val="0"/>
                <w:sz w:val="20"/>
                <w:szCs w:val="22"/>
              </w:rPr>
              <w:t xml:space="preserve">), Japon, Kazakhstan, Kirghizistan, Kiribati, </w:t>
            </w:r>
            <w:r w:rsidRPr="001472DB">
              <w:rPr>
                <w:rFonts w:ascii="Arial" w:hAnsi="Arial"/>
                <w:snapToGrid w:val="0"/>
                <w:color w:val="000000"/>
                <w:sz w:val="20"/>
                <w:szCs w:val="22"/>
              </w:rPr>
              <w:t>Malaisie,</w:t>
            </w:r>
            <w:r w:rsidRPr="001472DB">
              <w:rPr>
                <w:rFonts w:ascii="Arial" w:hAnsi="Arial"/>
                <w:snapToGrid w:val="0"/>
                <w:sz w:val="20"/>
                <w:szCs w:val="22"/>
              </w:rPr>
              <w:t xml:space="preserve"> </w:t>
            </w:r>
            <w:r w:rsidRPr="001472DB">
              <w:rPr>
                <w:rFonts w:ascii="Arial" w:hAnsi="Arial"/>
                <w:snapToGrid w:val="0"/>
                <w:color w:val="000000"/>
                <w:sz w:val="20"/>
                <w:szCs w:val="22"/>
              </w:rPr>
              <w:t xml:space="preserve">Micronésie (États Fédérés de), </w:t>
            </w:r>
            <w:r w:rsidRPr="001472DB">
              <w:rPr>
                <w:rFonts w:ascii="Arial" w:hAnsi="Arial"/>
                <w:snapToGrid w:val="0"/>
                <w:sz w:val="20"/>
                <w:szCs w:val="22"/>
              </w:rPr>
              <w:t xml:space="preserve">Mongolie, Myanmar, Nauru, Népal, Pakistan, Palaos, </w:t>
            </w:r>
            <w:r w:rsidRPr="001472DB">
              <w:rPr>
                <w:rFonts w:ascii="Arial" w:hAnsi="Arial"/>
                <w:snapToGrid w:val="0"/>
                <w:color w:val="000000"/>
                <w:sz w:val="20"/>
                <w:szCs w:val="22"/>
              </w:rPr>
              <w:t xml:space="preserve">Papouasie-Nouvelle-Guinée, </w:t>
            </w:r>
            <w:r w:rsidRPr="001472DB">
              <w:rPr>
                <w:rFonts w:ascii="Arial" w:hAnsi="Arial"/>
                <w:snapToGrid w:val="0"/>
                <w:sz w:val="20"/>
                <w:szCs w:val="22"/>
              </w:rPr>
              <w:t>Philippines, République de Corée, République démocratique populaire lao, République populaire démocratique de Corée</w:t>
            </w:r>
            <w:r w:rsidRPr="001472DB">
              <w:rPr>
                <w:rFonts w:ascii="Arial" w:hAnsi="Arial"/>
                <w:snapToGrid w:val="0"/>
                <w:color w:val="000000"/>
                <w:sz w:val="20"/>
                <w:szCs w:val="22"/>
              </w:rPr>
              <w:t xml:space="preserve">, </w:t>
            </w:r>
            <w:r w:rsidRPr="001472DB">
              <w:rPr>
                <w:rFonts w:ascii="Arial" w:hAnsi="Arial"/>
                <w:snapToGrid w:val="0"/>
                <w:sz w:val="20"/>
                <w:szCs w:val="22"/>
              </w:rPr>
              <w:t xml:space="preserve">Samoa, Singapour, </w:t>
            </w:r>
            <w:r w:rsidRPr="001472DB">
              <w:rPr>
                <w:rFonts w:ascii="Arial" w:hAnsi="Arial"/>
                <w:snapToGrid w:val="0"/>
                <w:color w:val="000000"/>
                <w:sz w:val="20"/>
                <w:szCs w:val="22"/>
              </w:rPr>
              <w:t xml:space="preserve">Sri Lanka, Thaïlande, Timor-Leste, Tonga, </w:t>
            </w:r>
            <w:r w:rsidRPr="001472DB">
              <w:rPr>
                <w:rFonts w:ascii="Arial" w:hAnsi="Arial"/>
                <w:snapToGrid w:val="0"/>
                <w:sz w:val="20"/>
                <w:szCs w:val="22"/>
              </w:rPr>
              <w:t>Turkménistan, Tuvalu, Vanuatu, Viet Nam</w:t>
            </w:r>
          </w:p>
        </w:tc>
      </w:tr>
      <w:tr w:rsidR="004C58F9" w:rsidRPr="00E238A1" w:rsidTr="004C58F9">
        <w:tc>
          <w:tcPr>
            <w:tcW w:w="844" w:type="pct"/>
            <w:tcBorders>
              <w:top w:val="single" w:sz="4" w:space="0" w:color="auto"/>
              <w:bottom w:val="single" w:sz="4" w:space="0" w:color="auto"/>
            </w:tcBorders>
            <w:shd w:val="clear" w:color="auto" w:fill="F3F3F3"/>
            <w:vAlign w:val="center"/>
          </w:tcPr>
          <w:p w:rsidR="004C58F9" w:rsidRPr="003C2913" w:rsidRDefault="004C58F9" w:rsidP="004C58F9">
            <w:pPr>
              <w:pStyle w:val="Marge"/>
              <w:spacing w:before="240"/>
              <w:jc w:val="left"/>
              <w:rPr>
                <w:rFonts w:cs="Arial"/>
                <w:b/>
                <w:spacing w:val="-3"/>
                <w:sz w:val="20"/>
                <w:szCs w:val="22"/>
              </w:rPr>
            </w:pPr>
            <w:r>
              <w:rPr>
                <w:b/>
                <w:sz w:val="20"/>
                <w:szCs w:val="22"/>
              </w:rPr>
              <w:t>Groupe V(a)</w:t>
            </w:r>
          </w:p>
        </w:tc>
        <w:tc>
          <w:tcPr>
            <w:tcW w:w="251" w:type="pct"/>
            <w:vAlign w:val="center"/>
          </w:tcPr>
          <w:p w:rsidR="004C58F9" w:rsidRPr="003C2913" w:rsidRDefault="004C58F9" w:rsidP="004C58F9">
            <w:pPr>
              <w:pStyle w:val="Marge"/>
              <w:spacing w:before="60" w:after="60"/>
              <w:jc w:val="left"/>
              <w:rPr>
                <w:sz w:val="20"/>
                <w:szCs w:val="22"/>
              </w:rPr>
            </w:pPr>
            <w:r>
              <w:rPr>
                <w:sz w:val="20"/>
                <w:szCs w:val="22"/>
              </w:rPr>
              <w:t>42</w:t>
            </w:r>
          </w:p>
        </w:tc>
        <w:tc>
          <w:tcPr>
            <w:tcW w:w="3905" w:type="pct"/>
          </w:tcPr>
          <w:p w:rsidR="004C58F9" w:rsidRPr="001472DB" w:rsidRDefault="00C461AE" w:rsidP="004C58F9">
            <w:pPr>
              <w:tabs>
                <w:tab w:val="left" w:pos="567"/>
              </w:tabs>
              <w:snapToGrid w:val="0"/>
              <w:spacing w:before="60" w:after="60"/>
              <w:jc w:val="both"/>
              <w:rPr>
                <w:rFonts w:ascii="Arial" w:hAnsi="Arial" w:cs="Arial"/>
                <w:snapToGrid w:val="0"/>
                <w:spacing w:val="-3"/>
                <w:sz w:val="20"/>
                <w:szCs w:val="22"/>
              </w:rPr>
            </w:pPr>
            <w:r w:rsidRPr="001472DB">
              <w:rPr>
                <w:rFonts w:ascii="Arial" w:hAnsi="Arial"/>
                <w:snapToGrid w:val="0"/>
                <w:sz w:val="20"/>
                <w:szCs w:val="22"/>
              </w:rPr>
              <w:t>Bénin, Botswana, Burkina Faso, Burundi, Cabo Verde, Cameroun,  Comores, Congo, Côte d</w:t>
            </w:r>
            <w:r w:rsidR="001472DB" w:rsidRPr="001472DB">
              <w:rPr>
                <w:rFonts w:ascii="Arial" w:hAnsi="Arial"/>
                <w:snapToGrid w:val="0"/>
                <w:sz w:val="20"/>
                <w:szCs w:val="22"/>
              </w:rPr>
              <w:t>’</w:t>
            </w:r>
            <w:r w:rsidRPr="001472DB">
              <w:rPr>
                <w:rFonts w:ascii="Arial" w:hAnsi="Arial"/>
                <w:snapToGrid w:val="0"/>
                <w:sz w:val="20"/>
                <w:szCs w:val="22"/>
              </w:rPr>
              <w:t>Ivoire, Djibouti, Érythrée, Éthiopie, Gabon, Gambie, Ghana, Guinée, Guinée-Bissau, Guinée équatoriale, Kenya, Lesotho, Madagascar, Malawi, Mali, Maurice, Mozambique, Namibie, Niger, Nigéria, Ouganda, République centrafricaine, République démocratique du Congo, République-Unie de Tanzanie, Rwanda, Sao Tomé-et-Principe, Sénégal, Seychelles, Soudan du Sud, Swaziland, Tchad, Togo, Zambie, Zimbabwe</w:t>
            </w:r>
          </w:p>
        </w:tc>
      </w:tr>
      <w:tr w:rsidR="004C58F9" w:rsidRPr="00E238A1" w:rsidTr="004C58F9">
        <w:tc>
          <w:tcPr>
            <w:tcW w:w="844" w:type="pct"/>
            <w:tcBorders>
              <w:top w:val="single" w:sz="4" w:space="0" w:color="auto"/>
              <w:bottom w:val="single" w:sz="4" w:space="0" w:color="auto"/>
            </w:tcBorders>
            <w:shd w:val="clear" w:color="auto" w:fill="F3F3F3"/>
            <w:vAlign w:val="center"/>
          </w:tcPr>
          <w:p w:rsidR="004C58F9" w:rsidRPr="003C2913" w:rsidRDefault="004C58F9" w:rsidP="004C58F9">
            <w:pPr>
              <w:pStyle w:val="Marge"/>
              <w:spacing w:before="240"/>
              <w:jc w:val="left"/>
              <w:rPr>
                <w:rFonts w:cs="Arial"/>
                <w:b/>
                <w:spacing w:val="-3"/>
                <w:sz w:val="20"/>
                <w:szCs w:val="22"/>
              </w:rPr>
            </w:pPr>
            <w:r>
              <w:rPr>
                <w:b/>
                <w:sz w:val="20"/>
                <w:szCs w:val="22"/>
              </w:rPr>
              <w:t>Groupe V(b)</w:t>
            </w:r>
          </w:p>
        </w:tc>
        <w:tc>
          <w:tcPr>
            <w:tcW w:w="251" w:type="pct"/>
            <w:vAlign w:val="center"/>
          </w:tcPr>
          <w:p w:rsidR="004C58F9" w:rsidRPr="003C2913" w:rsidRDefault="004C58F9" w:rsidP="004C58F9">
            <w:pPr>
              <w:pStyle w:val="Marge"/>
              <w:spacing w:before="60" w:after="60"/>
              <w:jc w:val="left"/>
              <w:rPr>
                <w:sz w:val="20"/>
                <w:szCs w:val="22"/>
              </w:rPr>
            </w:pPr>
            <w:r>
              <w:rPr>
                <w:sz w:val="20"/>
                <w:szCs w:val="22"/>
              </w:rPr>
              <w:t>18</w:t>
            </w:r>
          </w:p>
        </w:tc>
        <w:tc>
          <w:tcPr>
            <w:tcW w:w="3905" w:type="pct"/>
          </w:tcPr>
          <w:p w:rsidR="004C58F9" w:rsidRPr="001472DB" w:rsidRDefault="00C461AE" w:rsidP="004C58F9">
            <w:pPr>
              <w:tabs>
                <w:tab w:val="left" w:pos="567"/>
              </w:tabs>
              <w:snapToGrid w:val="0"/>
              <w:spacing w:before="60" w:after="60"/>
              <w:jc w:val="both"/>
              <w:rPr>
                <w:rFonts w:ascii="Arial" w:hAnsi="Arial" w:cs="Arial"/>
                <w:snapToGrid w:val="0"/>
                <w:spacing w:val="-3"/>
                <w:sz w:val="20"/>
                <w:szCs w:val="22"/>
              </w:rPr>
            </w:pPr>
            <w:r w:rsidRPr="001472DB">
              <w:rPr>
                <w:rFonts w:ascii="Arial" w:hAnsi="Arial"/>
                <w:snapToGrid w:val="0"/>
                <w:sz w:val="20"/>
                <w:szCs w:val="22"/>
              </w:rPr>
              <w:t xml:space="preserve">Algérie, Arabie saoudite, Bahreïn, Égypte, Émirats arabes unis, Iraq, Jordanie, Koweït, Liban, Maroc, Mauritanie, Oman, Palestine, </w:t>
            </w:r>
            <w:r w:rsidRPr="001472DB">
              <w:rPr>
                <w:rFonts w:ascii="Arial" w:hAnsi="Arial"/>
                <w:snapToGrid w:val="0"/>
                <w:color w:val="000000"/>
                <w:sz w:val="20"/>
                <w:szCs w:val="22"/>
              </w:rPr>
              <w:t>Qatar,</w:t>
            </w:r>
            <w:r w:rsidRPr="001472DB">
              <w:rPr>
                <w:rFonts w:ascii="Arial" w:hAnsi="Arial"/>
                <w:snapToGrid w:val="0"/>
                <w:sz w:val="20"/>
                <w:szCs w:val="22"/>
              </w:rPr>
              <w:t xml:space="preserve"> République arabe syrienne, </w:t>
            </w:r>
            <w:r w:rsidRPr="001472DB">
              <w:rPr>
                <w:rFonts w:ascii="Arial" w:hAnsi="Arial"/>
                <w:snapToGrid w:val="0"/>
                <w:color w:val="000000"/>
                <w:sz w:val="20"/>
                <w:szCs w:val="22"/>
              </w:rPr>
              <w:t>Soudan,</w:t>
            </w:r>
            <w:r w:rsidRPr="001472DB">
              <w:rPr>
                <w:rFonts w:ascii="Arial" w:hAnsi="Arial"/>
                <w:snapToGrid w:val="0"/>
                <w:sz w:val="20"/>
                <w:szCs w:val="22"/>
              </w:rPr>
              <w:t xml:space="preserve"> Tunisie, Yémen</w:t>
            </w:r>
          </w:p>
        </w:tc>
      </w:tr>
    </w:tbl>
    <w:p w:rsidR="008B713F" w:rsidRDefault="008B713F" w:rsidP="008B713F">
      <w:pPr>
        <w:pStyle w:val="GAPara"/>
        <w:spacing w:before="240"/>
        <w:jc w:val="both"/>
      </w:pPr>
      <w:r>
        <w:t>Par sa résolution 3.GA 12, l</w:t>
      </w:r>
      <w:r w:rsidR="001472DB">
        <w:t>’</w:t>
      </w:r>
      <w:r>
        <w:t>Assemblée générale a décidé que « le principe de proportionnalité de l</w:t>
      </w:r>
      <w:r w:rsidR="001472DB">
        <w:t>’</w:t>
      </w:r>
      <w:r>
        <w:t>article 13.2 du Règlement intérieur de l</w:t>
      </w:r>
      <w:r w:rsidR="001472DB">
        <w:t>’</w:t>
      </w:r>
      <w:r>
        <w:t>Assemblée générale, pleinement conforme au principe de représentation géographique équitable énoncé à l</w:t>
      </w:r>
      <w:r w:rsidR="001472DB">
        <w:t>’</w:t>
      </w:r>
      <w:r>
        <w:t>article 6.1 de la Convention, doit être rigoureusement appliqué pour les futures élections, strictement sur la base des calculs mathématiques ».</w:t>
      </w:r>
    </w:p>
    <w:p w:rsidR="008B713F" w:rsidRDefault="008B713F" w:rsidP="008B713F">
      <w:pPr>
        <w:pStyle w:val="GAPara"/>
        <w:jc w:val="both"/>
      </w:pPr>
      <w:r>
        <w:t>La répartition des sièges au Comité par groupe électoral au prorata du nombre d</w:t>
      </w:r>
      <w:r w:rsidR="001472DB">
        <w:t>’</w:t>
      </w:r>
      <w:r>
        <w:t>États parties peut donc se faire sur la base des calculs mathématiques figurant dans le tableau ci-dessous. Dans ces calculs, le nombre minimum de trois sièges est d</w:t>
      </w:r>
      <w:r w:rsidR="001472DB">
        <w:t>’</w:t>
      </w:r>
      <w:r>
        <w:t>abord attribué au groupe électoral V(b). Les 21 sièges restants sont ensuite répartis entre les cinq autres groupes, en commençant par le groupe au décile le plus élevé (groupe V(a)), suivi du groupe au décile immédiatement inférieur (groupe IV).</w:t>
      </w:r>
    </w:p>
    <w:tbl>
      <w:tblPr>
        <w:tblW w:w="773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1547"/>
        <w:gridCol w:w="1547"/>
        <w:gridCol w:w="1547"/>
        <w:gridCol w:w="1548"/>
      </w:tblGrid>
      <w:tr w:rsidR="008B713F" w:rsidRPr="00AE142B" w:rsidTr="00F21613">
        <w:trPr>
          <w:cantSplit/>
          <w:trHeight w:val="300"/>
        </w:trPr>
        <w:tc>
          <w:tcPr>
            <w:tcW w:w="1547" w:type="dxa"/>
            <w:shd w:val="clear" w:color="auto" w:fill="D9D9D9"/>
            <w:noWrap/>
            <w:tcMar>
              <w:top w:w="0" w:type="dxa"/>
              <w:left w:w="108" w:type="dxa"/>
              <w:bottom w:w="0" w:type="dxa"/>
              <w:right w:w="108" w:type="dxa"/>
            </w:tcMar>
            <w:vAlign w:val="center"/>
          </w:tcPr>
          <w:p w:rsidR="008B713F" w:rsidRPr="003F32CE" w:rsidRDefault="008B713F" w:rsidP="00F21613">
            <w:pPr>
              <w:keepNext/>
              <w:spacing w:before="120" w:after="120"/>
              <w:jc w:val="center"/>
              <w:rPr>
                <w:rFonts w:ascii="Arial" w:hAnsi="Arial" w:cs="Arial"/>
                <w:b/>
                <w:sz w:val="20"/>
                <w:szCs w:val="20"/>
              </w:rPr>
            </w:pPr>
            <w:r>
              <w:rPr>
                <w:rFonts w:ascii="Arial" w:hAnsi="Arial"/>
                <w:b/>
                <w:sz w:val="20"/>
                <w:szCs w:val="20"/>
              </w:rPr>
              <w:lastRenderedPageBreak/>
              <w:t xml:space="preserve">Groupe </w:t>
            </w:r>
            <w:r>
              <w:rPr>
                <w:rFonts w:ascii="Arial" w:hAnsi="Arial"/>
                <w:b/>
                <w:sz w:val="20"/>
                <w:szCs w:val="20"/>
              </w:rPr>
              <w:br/>
              <w:t>électoral</w:t>
            </w:r>
          </w:p>
        </w:tc>
        <w:tc>
          <w:tcPr>
            <w:tcW w:w="1547" w:type="dxa"/>
            <w:shd w:val="clear" w:color="auto" w:fill="D9D9D9"/>
            <w:noWrap/>
            <w:tcMar>
              <w:top w:w="0" w:type="dxa"/>
              <w:left w:w="108" w:type="dxa"/>
              <w:bottom w:w="0" w:type="dxa"/>
              <w:right w:w="108" w:type="dxa"/>
            </w:tcMar>
            <w:vAlign w:val="center"/>
          </w:tcPr>
          <w:p w:rsidR="008B713F" w:rsidRPr="003F32CE" w:rsidRDefault="008B713F" w:rsidP="00F21613">
            <w:pPr>
              <w:keepNext/>
              <w:spacing w:before="120" w:after="120"/>
              <w:jc w:val="center"/>
              <w:rPr>
                <w:rFonts w:ascii="Arial" w:hAnsi="Arial" w:cs="Arial"/>
                <w:b/>
                <w:sz w:val="20"/>
                <w:szCs w:val="20"/>
              </w:rPr>
            </w:pPr>
            <w:r>
              <w:rPr>
                <w:rFonts w:ascii="Arial" w:hAnsi="Arial"/>
                <w:b/>
                <w:sz w:val="20"/>
                <w:szCs w:val="20"/>
              </w:rPr>
              <w:t>États parties</w:t>
            </w:r>
          </w:p>
        </w:tc>
        <w:tc>
          <w:tcPr>
            <w:tcW w:w="1547" w:type="dxa"/>
            <w:shd w:val="clear" w:color="auto" w:fill="D9D9D9"/>
            <w:noWrap/>
            <w:tcMar>
              <w:top w:w="0" w:type="dxa"/>
              <w:left w:w="108" w:type="dxa"/>
              <w:bottom w:w="0" w:type="dxa"/>
              <w:right w:w="108" w:type="dxa"/>
            </w:tcMar>
            <w:vAlign w:val="center"/>
          </w:tcPr>
          <w:p w:rsidR="008B713F" w:rsidRPr="003F32CE" w:rsidRDefault="008B713F" w:rsidP="00F21613">
            <w:pPr>
              <w:keepNext/>
              <w:spacing w:before="120" w:after="120"/>
              <w:jc w:val="center"/>
              <w:rPr>
                <w:rFonts w:ascii="Arial" w:hAnsi="Arial" w:cs="Arial"/>
                <w:b/>
                <w:sz w:val="20"/>
                <w:szCs w:val="20"/>
              </w:rPr>
            </w:pPr>
            <w:r>
              <w:rPr>
                <w:rFonts w:ascii="Arial" w:hAnsi="Arial"/>
                <w:b/>
                <w:sz w:val="20"/>
                <w:szCs w:val="20"/>
              </w:rPr>
              <w:t xml:space="preserve">Pourcentage </w:t>
            </w:r>
            <w:r>
              <w:rPr>
                <w:rFonts w:ascii="Arial" w:hAnsi="Arial"/>
                <w:b/>
                <w:sz w:val="20"/>
                <w:szCs w:val="20"/>
              </w:rPr>
              <w:br/>
              <w:t>du total</w:t>
            </w:r>
          </w:p>
        </w:tc>
        <w:tc>
          <w:tcPr>
            <w:tcW w:w="1547" w:type="dxa"/>
            <w:shd w:val="clear" w:color="auto" w:fill="D9D9D9"/>
            <w:noWrap/>
            <w:tcMar>
              <w:top w:w="0" w:type="dxa"/>
              <w:left w:w="108" w:type="dxa"/>
              <w:bottom w:w="0" w:type="dxa"/>
              <w:right w:w="108" w:type="dxa"/>
            </w:tcMar>
            <w:vAlign w:val="center"/>
          </w:tcPr>
          <w:p w:rsidR="008B713F" w:rsidRPr="003F32CE" w:rsidRDefault="008B713F" w:rsidP="00DA31F1">
            <w:pPr>
              <w:keepNext/>
              <w:spacing w:before="120" w:after="120"/>
              <w:jc w:val="center"/>
              <w:rPr>
                <w:rFonts w:ascii="Arial" w:hAnsi="Arial" w:cs="Arial"/>
                <w:b/>
                <w:sz w:val="20"/>
                <w:szCs w:val="20"/>
              </w:rPr>
            </w:pPr>
            <w:r>
              <w:rPr>
                <w:rFonts w:ascii="Arial" w:hAnsi="Arial"/>
                <w:b/>
                <w:sz w:val="20"/>
                <w:szCs w:val="20"/>
              </w:rPr>
              <w:t>Sièges (fraction)</w:t>
            </w:r>
          </w:p>
        </w:tc>
        <w:tc>
          <w:tcPr>
            <w:tcW w:w="1548" w:type="dxa"/>
            <w:shd w:val="clear" w:color="auto" w:fill="D9D9D9"/>
            <w:vAlign w:val="center"/>
          </w:tcPr>
          <w:p w:rsidR="008B713F" w:rsidRPr="003F32CE" w:rsidRDefault="008B713F" w:rsidP="00F21613">
            <w:pPr>
              <w:keepNext/>
              <w:spacing w:before="120" w:after="120"/>
              <w:jc w:val="center"/>
              <w:rPr>
                <w:rFonts w:ascii="Arial" w:hAnsi="Arial" w:cs="Arial"/>
                <w:b/>
                <w:bCs/>
                <w:sz w:val="20"/>
                <w:szCs w:val="20"/>
              </w:rPr>
            </w:pPr>
            <w:r>
              <w:rPr>
                <w:rFonts w:ascii="Arial" w:hAnsi="Arial"/>
                <w:b/>
                <w:bCs/>
                <w:sz w:val="20"/>
                <w:szCs w:val="20"/>
              </w:rPr>
              <w:t xml:space="preserve">Sièges </w:t>
            </w:r>
            <w:r>
              <w:rPr>
                <w:rFonts w:ascii="Arial" w:hAnsi="Arial"/>
                <w:b/>
                <w:bCs/>
                <w:sz w:val="20"/>
                <w:szCs w:val="20"/>
              </w:rPr>
              <w:br/>
              <w:t>(arrondi)</w:t>
            </w:r>
          </w:p>
        </w:tc>
      </w:tr>
      <w:tr w:rsidR="00852550" w:rsidRPr="00BE57A5" w:rsidTr="00F21613">
        <w:trPr>
          <w:cantSplit/>
          <w:trHeight w:val="300"/>
        </w:trPr>
        <w:tc>
          <w:tcPr>
            <w:tcW w:w="1547" w:type="dxa"/>
            <w:noWrap/>
            <w:tcMar>
              <w:top w:w="0" w:type="dxa"/>
              <w:left w:w="108" w:type="dxa"/>
              <w:bottom w:w="0" w:type="dxa"/>
              <w:right w:w="108" w:type="dxa"/>
            </w:tcMar>
            <w:vAlign w:val="center"/>
          </w:tcPr>
          <w:p w:rsidR="00852550" w:rsidRPr="00CD5029" w:rsidRDefault="00852550" w:rsidP="00F21613">
            <w:pPr>
              <w:keepNext/>
              <w:spacing w:before="120" w:after="120"/>
              <w:jc w:val="center"/>
              <w:rPr>
                <w:rFonts w:ascii="Arial" w:hAnsi="Arial" w:cs="Arial"/>
                <w:b/>
                <w:sz w:val="20"/>
                <w:szCs w:val="20"/>
              </w:rPr>
            </w:pPr>
            <w:r>
              <w:rPr>
                <w:rFonts w:ascii="Arial" w:hAnsi="Arial"/>
                <w:b/>
                <w:sz w:val="20"/>
                <w:szCs w:val="20"/>
              </w:rPr>
              <w:t>I</w:t>
            </w:r>
          </w:p>
        </w:tc>
        <w:tc>
          <w:tcPr>
            <w:tcW w:w="1547" w:type="dxa"/>
            <w:noWrap/>
            <w:tcMar>
              <w:top w:w="0" w:type="dxa"/>
              <w:left w:w="108" w:type="dxa"/>
              <w:bottom w:w="0" w:type="dxa"/>
              <w:right w:w="108" w:type="dxa"/>
            </w:tcMar>
            <w:vAlign w:val="center"/>
          </w:tcPr>
          <w:p w:rsidR="00852550" w:rsidRPr="00CD5029" w:rsidRDefault="00852550" w:rsidP="002916A7">
            <w:pPr>
              <w:keepNext/>
              <w:spacing w:before="120" w:after="120"/>
              <w:jc w:val="center"/>
              <w:rPr>
                <w:rFonts w:ascii="Arial" w:hAnsi="Arial" w:cs="Arial"/>
                <w:sz w:val="20"/>
                <w:szCs w:val="20"/>
              </w:rPr>
            </w:pPr>
            <w:r>
              <w:rPr>
                <w:rFonts w:ascii="Arial" w:hAnsi="Arial"/>
                <w:sz w:val="20"/>
                <w:szCs w:val="20"/>
              </w:rPr>
              <w:t>22</w:t>
            </w:r>
          </w:p>
        </w:tc>
        <w:tc>
          <w:tcPr>
            <w:tcW w:w="1547" w:type="dxa"/>
            <w:noWrap/>
            <w:tcMar>
              <w:top w:w="0" w:type="dxa"/>
              <w:left w:w="108" w:type="dxa"/>
              <w:bottom w:w="0" w:type="dxa"/>
              <w:right w:w="108" w:type="dxa"/>
            </w:tcMar>
            <w:vAlign w:val="center"/>
          </w:tcPr>
          <w:p w:rsidR="00852550" w:rsidRPr="003F32CE" w:rsidRDefault="00852550" w:rsidP="00747191">
            <w:pPr>
              <w:jc w:val="center"/>
              <w:rPr>
                <w:rFonts w:ascii="Arial" w:hAnsi="Arial" w:cs="Arial"/>
                <w:color w:val="000000"/>
                <w:sz w:val="20"/>
                <w:szCs w:val="20"/>
              </w:rPr>
            </w:pPr>
            <w:r>
              <w:rPr>
                <w:rFonts w:ascii="Arial" w:hAnsi="Arial"/>
                <w:color w:val="000000"/>
                <w:sz w:val="20"/>
                <w:szCs w:val="20"/>
              </w:rPr>
              <w:t>12,43 %</w:t>
            </w:r>
          </w:p>
        </w:tc>
        <w:tc>
          <w:tcPr>
            <w:tcW w:w="1547" w:type="dxa"/>
            <w:noWrap/>
            <w:tcMar>
              <w:top w:w="0" w:type="dxa"/>
              <w:left w:w="108" w:type="dxa"/>
              <w:bottom w:w="0" w:type="dxa"/>
              <w:right w:w="108" w:type="dxa"/>
            </w:tcMar>
            <w:vAlign w:val="center"/>
          </w:tcPr>
          <w:p w:rsidR="00852550" w:rsidRPr="003F32CE" w:rsidRDefault="00747191">
            <w:pPr>
              <w:jc w:val="center"/>
              <w:rPr>
                <w:rFonts w:ascii="Arial" w:hAnsi="Arial" w:cs="Arial"/>
                <w:color w:val="000000"/>
                <w:sz w:val="20"/>
                <w:szCs w:val="20"/>
              </w:rPr>
            </w:pPr>
            <w:r>
              <w:rPr>
                <w:rFonts w:ascii="Arial" w:hAnsi="Arial"/>
                <w:color w:val="000000"/>
                <w:sz w:val="20"/>
                <w:szCs w:val="20"/>
              </w:rPr>
              <w:t>2,98</w:t>
            </w:r>
          </w:p>
        </w:tc>
        <w:tc>
          <w:tcPr>
            <w:tcW w:w="1548" w:type="dxa"/>
            <w:vAlign w:val="center"/>
          </w:tcPr>
          <w:p w:rsidR="00852550" w:rsidRPr="00CD5029" w:rsidRDefault="00852550" w:rsidP="00F21613">
            <w:pPr>
              <w:keepNext/>
              <w:spacing w:before="120" w:after="120"/>
              <w:jc w:val="center"/>
              <w:rPr>
                <w:rFonts w:ascii="Arial" w:hAnsi="Arial" w:cs="Arial"/>
                <w:sz w:val="20"/>
                <w:szCs w:val="20"/>
              </w:rPr>
            </w:pPr>
            <w:r>
              <w:rPr>
                <w:rFonts w:ascii="Arial" w:hAnsi="Arial"/>
                <w:sz w:val="20"/>
                <w:szCs w:val="20"/>
              </w:rPr>
              <w:t>3</w:t>
            </w:r>
          </w:p>
        </w:tc>
      </w:tr>
      <w:tr w:rsidR="00852550" w:rsidRPr="00BE57A5" w:rsidTr="00F21613">
        <w:trPr>
          <w:cantSplit/>
          <w:trHeight w:val="300"/>
        </w:trPr>
        <w:tc>
          <w:tcPr>
            <w:tcW w:w="1547" w:type="dxa"/>
            <w:noWrap/>
            <w:tcMar>
              <w:top w:w="0" w:type="dxa"/>
              <w:left w:w="108" w:type="dxa"/>
              <w:bottom w:w="0" w:type="dxa"/>
              <w:right w:w="108" w:type="dxa"/>
            </w:tcMar>
            <w:vAlign w:val="center"/>
          </w:tcPr>
          <w:p w:rsidR="00852550" w:rsidRPr="00CD5029" w:rsidRDefault="00852550" w:rsidP="00F21613">
            <w:pPr>
              <w:keepNext/>
              <w:spacing w:before="120" w:after="120"/>
              <w:jc w:val="center"/>
              <w:rPr>
                <w:rFonts w:ascii="Arial" w:hAnsi="Arial" w:cs="Arial"/>
                <w:b/>
                <w:sz w:val="20"/>
                <w:szCs w:val="20"/>
              </w:rPr>
            </w:pPr>
            <w:r>
              <w:rPr>
                <w:rFonts w:ascii="Arial" w:hAnsi="Arial"/>
                <w:b/>
                <w:sz w:val="20"/>
                <w:szCs w:val="20"/>
              </w:rPr>
              <w:t>II</w:t>
            </w:r>
          </w:p>
        </w:tc>
        <w:tc>
          <w:tcPr>
            <w:tcW w:w="1547" w:type="dxa"/>
            <w:noWrap/>
            <w:tcMar>
              <w:top w:w="0" w:type="dxa"/>
              <w:left w:w="108" w:type="dxa"/>
              <w:bottom w:w="0" w:type="dxa"/>
              <w:right w:w="108" w:type="dxa"/>
            </w:tcMar>
            <w:vAlign w:val="center"/>
          </w:tcPr>
          <w:p w:rsidR="00852550" w:rsidRPr="00CD5029" w:rsidRDefault="00852550" w:rsidP="00F21613">
            <w:pPr>
              <w:keepNext/>
              <w:spacing w:before="120" w:after="120"/>
              <w:jc w:val="center"/>
              <w:rPr>
                <w:rFonts w:ascii="Arial" w:hAnsi="Arial" w:cs="Arial"/>
                <w:sz w:val="20"/>
                <w:szCs w:val="20"/>
              </w:rPr>
            </w:pPr>
            <w:r>
              <w:rPr>
                <w:rFonts w:ascii="Arial" w:hAnsi="Arial"/>
                <w:sz w:val="20"/>
                <w:szCs w:val="20"/>
              </w:rPr>
              <w:t>24</w:t>
            </w:r>
          </w:p>
        </w:tc>
        <w:tc>
          <w:tcPr>
            <w:tcW w:w="1547" w:type="dxa"/>
            <w:noWrap/>
            <w:tcMar>
              <w:top w:w="0" w:type="dxa"/>
              <w:left w:w="108" w:type="dxa"/>
              <w:bottom w:w="0" w:type="dxa"/>
              <w:right w:w="108" w:type="dxa"/>
            </w:tcMar>
            <w:vAlign w:val="center"/>
          </w:tcPr>
          <w:p w:rsidR="00852550" w:rsidRPr="003F32CE" w:rsidRDefault="002916A7" w:rsidP="00747191">
            <w:pPr>
              <w:jc w:val="center"/>
              <w:rPr>
                <w:rFonts w:ascii="Arial" w:hAnsi="Arial" w:cs="Arial"/>
                <w:color w:val="000000"/>
                <w:sz w:val="20"/>
                <w:szCs w:val="20"/>
              </w:rPr>
            </w:pPr>
            <w:r>
              <w:rPr>
                <w:rFonts w:ascii="Arial" w:hAnsi="Arial"/>
                <w:color w:val="000000"/>
                <w:sz w:val="20"/>
                <w:szCs w:val="20"/>
              </w:rPr>
              <w:t>13,56 %</w:t>
            </w:r>
          </w:p>
        </w:tc>
        <w:tc>
          <w:tcPr>
            <w:tcW w:w="1547" w:type="dxa"/>
            <w:noWrap/>
            <w:tcMar>
              <w:top w:w="0" w:type="dxa"/>
              <w:left w:w="108" w:type="dxa"/>
              <w:bottom w:w="0" w:type="dxa"/>
              <w:right w:w="108" w:type="dxa"/>
            </w:tcMar>
            <w:vAlign w:val="center"/>
          </w:tcPr>
          <w:p w:rsidR="00852550" w:rsidRPr="003F32CE" w:rsidRDefault="00852550">
            <w:pPr>
              <w:jc w:val="center"/>
              <w:rPr>
                <w:rFonts w:ascii="Arial" w:hAnsi="Arial" w:cs="Arial"/>
                <w:color w:val="000000"/>
                <w:sz w:val="20"/>
                <w:szCs w:val="20"/>
              </w:rPr>
            </w:pPr>
            <w:r>
              <w:rPr>
                <w:rFonts w:ascii="Arial" w:hAnsi="Arial"/>
                <w:color w:val="000000"/>
                <w:sz w:val="20"/>
                <w:szCs w:val="20"/>
              </w:rPr>
              <w:t>3,25</w:t>
            </w:r>
          </w:p>
        </w:tc>
        <w:tc>
          <w:tcPr>
            <w:tcW w:w="1548" w:type="dxa"/>
            <w:vAlign w:val="center"/>
          </w:tcPr>
          <w:p w:rsidR="00852550" w:rsidRPr="00CD5029" w:rsidRDefault="00852550" w:rsidP="00F21613">
            <w:pPr>
              <w:keepNext/>
              <w:spacing w:before="120" w:after="120"/>
              <w:jc w:val="center"/>
              <w:rPr>
                <w:rFonts w:ascii="Arial" w:hAnsi="Arial" w:cs="Arial"/>
                <w:sz w:val="20"/>
                <w:szCs w:val="20"/>
              </w:rPr>
            </w:pPr>
            <w:r>
              <w:rPr>
                <w:rFonts w:ascii="Arial" w:hAnsi="Arial"/>
                <w:sz w:val="20"/>
                <w:szCs w:val="20"/>
              </w:rPr>
              <w:t>3</w:t>
            </w:r>
          </w:p>
        </w:tc>
      </w:tr>
      <w:tr w:rsidR="00852550" w:rsidRPr="00BE57A5" w:rsidTr="00F21613">
        <w:trPr>
          <w:cantSplit/>
          <w:trHeight w:val="300"/>
        </w:trPr>
        <w:tc>
          <w:tcPr>
            <w:tcW w:w="1547" w:type="dxa"/>
            <w:noWrap/>
            <w:tcMar>
              <w:top w:w="0" w:type="dxa"/>
              <w:left w:w="108" w:type="dxa"/>
              <w:bottom w:w="0" w:type="dxa"/>
              <w:right w:w="108" w:type="dxa"/>
            </w:tcMar>
            <w:vAlign w:val="center"/>
          </w:tcPr>
          <w:p w:rsidR="00852550" w:rsidRPr="00CD5029" w:rsidRDefault="00852550" w:rsidP="00F21613">
            <w:pPr>
              <w:keepNext/>
              <w:spacing w:before="120" w:after="120"/>
              <w:jc w:val="center"/>
              <w:rPr>
                <w:rFonts w:ascii="Arial" w:hAnsi="Arial" w:cs="Arial"/>
                <w:b/>
                <w:sz w:val="20"/>
                <w:szCs w:val="20"/>
              </w:rPr>
            </w:pPr>
            <w:r>
              <w:rPr>
                <w:rFonts w:ascii="Arial" w:hAnsi="Arial"/>
                <w:b/>
                <w:sz w:val="20"/>
                <w:szCs w:val="20"/>
              </w:rPr>
              <w:t>III</w:t>
            </w:r>
          </w:p>
        </w:tc>
        <w:tc>
          <w:tcPr>
            <w:tcW w:w="1547" w:type="dxa"/>
            <w:noWrap/>
            <w:tcMar>
              <w:top w:w="0" w:type="dxa"/>
              <w:left w:w="108" w:type="dxa"/>
              <w:bottom w:w="0" w:type="dxa"/>
              <w:right w:w="108" w:type="dxa"/>
            </w:tcMar>
            <w:vAlign w:val="center"/>
          </w:tcPr>
          <w:p w:rsidR="00852550" w:rsidRPr="00CD5029" w:rsidRDefault="002916A7" w:rsidP="00F21613">
            <w:pPr>
              <w:keepNext/>
              <w:spacing w:before="120" w:after="120"/>
              <w:jc w:val="center"/>
              <w:rPr>
                <w:rFonts w:ascii="Arial" w:hAnsi="Arial" w:cs="Arial"/>
                <w:sz w:val="20"/>
                <w:szCs w:val="20"/>
              </w:rPr>
            </w:pPr>
            <w:r>
              <w:rPr>
                <w:rFonts w:ascii="Arial" w:hAnsi="Arial"/>
                <w:sz w:val="20"/>
                <w:szCs w:val="20"/>
              </w:rPr>
              <w:t>32</w:t>
            </w:r>
          </w:p>
        </w:tc>
        <w:tc>
          <w:tcPr>
            <w:tcW w:w="1547" w:type="dxa"/>
            <w:noWrap/>
            <w:tcMar>
              <w:top w:w="0" w:type="dxa"/>
              <w:left w:w="108" w:type="dxa"/>
              <w:bottom w:w="0" w:type="dxa"/>
              <w:right w:w="108" w:type="dxa"/>
            </w:tcMar>
            <w:vAlign w:val="center"/>
          </w:tcPr>
          <w:p w:rsidR="00852550" w:rsidRPr="003F32CE" w:rsidRDefault="00852550" w:rsidP="00747191">
            <w:pPr>
              <w:jc w:val="center"/>
              <w:rPr>
                <w:rFonts w:ascii="Arial" w:hAnsi="Arial" w:cs="Arial"/>
                <w:color w:val="000000"/>
                <w:sz w:val="20"/>
                <w:szCs w:val="20"/>
              </w:rPr>
            </w:pPr>
            <w:r>
              <w:rPr>
                <w:rFonts w:ascii="Arial" w:hAnsi="Arial"/>
                <w:color w:val="000000"/>
                <w:sz w:val="20"/>
                <w:szCs w:val="20"/>
              </w:rPr>
              <w:t>18,08 %</w:t>
            </w:r>
          </w:p>
        </w:tc>
        <w:tc>
          <w:tcPr>
            <w:tcW w:w="1547" w:type="dxa"/>
            <w:noWrap/>
            <w:tcMar>
              <w:top w:w="0" w:type="dxa"/>
              <w:left w:w="108" w:type="dxa"/>
              <w:bottom w:w="0" w:type="dxa"/>
              <w:right w:w="108" w:type="dxa"/>
            </w:tcMar>
            <w:vAlign w:val="center"/>
          </w:tcPr>
          <w:p w:rsidR="00852550" w:rsidRPr="003F32CE" w:rsidRDefault="00852550">
            <w:pPr>
              <w:jc w:val="center"/>
              <w:rPr>
                <w:rFonts w:ascii="Arial" w:hAnsi="Arial" w:cs="Arial"/>
                <w:color w:val="000000"/>
                <w:sz w:val="20"/>
                <w:szCs w:val="20"/>
              </w:rPr>
            </w:pPr>
            <w:r>
              <w:rPr>
                <w:rFonts w:ascii="Arial" w:hAnsi="Arial"/>
                <w:color w:val="000000"/>
                <w:sz w:val="20"/>
                <w:szCs w:val="20"/>
              </w:rPr>
              <w:t>4,34</w:t>
            </w:r>
          </w:p>
        </w:tc>
        <w:tc>
          <w:tcPr>
            <w:tcW w:w="1548" w:type="dxa"/>
            <w:vAlign w:val="center"/>
          </w:tcPr>
          <w:p w:rsidR="00852550" w:rsidRPr="00CD5029" w:rsidRDefault="00852550" w:rsidP="00F21613">
            <w:pPr>
              <w:keepNext/>
              <w:spacing w:before="120" w:after="120"/>
              <w:jc w:val="center"/>
              <w:rPr>
                <w:rFonts w:ascii="Arial" w:hAnsi="Arial" w:cs="Arial"/>
                <w:sz w:val="20"/>
                <w:szCs w:val="20"/>
              </w:rPr>
            </w:pPr>
            <w:r>
              <w:rPr>
                <w:rFonts w:ascii="Arial" w:hAnsi="Arial"/>
                <w:sz w:val="20"/>
                <w:szCs w:val="20"/>
              </w:rPr>
              <w:t>4</w:t>
            </w:r>
          </w:p>
        </w:tc>
      </w:tr>
      <w:tr w:rsidR="00852550" w:rsidRPr="00BE57A5" w:rsidTr="00F21613">
        <w:trPr>
          <w:cantSplit/>
          <w:trHeight w:val="300"/>
        </w:trPr>
        <w:tc>
          <w:tcPr>
            <w:tcW w:w="1547" w:type="dxa"/>
            <w:noWrap/>
            <w:tcMar>
              <w:top w:w="0" w:type="dxa"/>
              <w:left w:w="108" w:type="dxa"/>
              <w:bottom w:w="0" w:type="dxa"/>
              <w:right w:w="108" w:type="dxa"/>
            </w:tcMar>
            <w:vAlign w:val="center"/>
          </w:tcPr>
          <w:p w:rsidR="00852550" w:rsidRPr="00CD5029" w:rsidRDefault="00852550" w:rsidP="00F21613">
            <w:pPr>
              <w:keepNext/>
              <w:spacing w:before="120" w:after="120"/>
              <w:jc w:val="center"/>
              <w:rPr>
                <w:rFonts w:ascii="Arial" w:hAnsi="Arial" w:cs="Arial"/>
                <w:b/>
                <w:sz w:val="20"/>
                <w:szCs w:val="20"/>
              </w:rPr>
            </w:pPr>
            <w:r>
              <w:rPr>
                <w:rFonts w:ascii="Arial" w:hAnsi="Arial"/>
                <w:b/>
                <w:sz w:val="20"/>
                <w:szCs w:val="20"/>
              </w:rPr>
              <w:t>IV</w:t>
            </w:r>
          </w:p>
        </w:tc>
        <w:tc>
          <w:tcPr>
            <w:tcW w:w="1547" w:type="dxa"/>
            <w:noWrap/>
            <w:tcMar>
              <w:top w:w="0" w:type="dxa"/>
              <w:left w:w="108" w:type="dxa"/>
              <w:bottom w:w="0" w:type="dxa"/>
              <w:right w:w="108" w:type="dxa"/>
            </w:tcMar>
            <w:vAlign w:val="center"/>
          </w:tcPr>
          <w:p w:rsidR="00852550" w:rsidRPr="00CD5029" w:rsidRDefault="002916A7" w:rsidP="00747191">
            <w:pPr>
              <w:keepNext/>
              <w:spacing w:before="120" w:after="120"/>
              <w:jc w:val="center"/>
              <w:rPr>
                <w:rFonts w:ascii="Arial" w:hAnsi="Arial" w:cs="Arial"/>
                <w:sz w:val="20"/>
                <w:szCs w:val="20"/>
              </w:rPr>
            </w:pPr>
            <w:r>
              <w:rPr>
                <w:rFonts w:ascii="Arial" w:hAnsi="Arial"/>
                <w:sz w:val="20"/>
                <w:szCs w:val="20"/>
              </w:rPr>
              <w:t>39</w:t>
            </w:r>
          </w:p>
        </w:tc>
        <w:tc>
          <w:tcPr>
            <w:tcW w:w="1547" w:type="dxa"/>
            <w:noWrap/>
            <w:tcMar>
              <w:top w:w="0" w:type="dxa"/>
              <w:left w:w="108" w:type="dxa"/>
              <w:bottom w:w="0" w:type="dxa"/>
              <w:right w:w="108" w:type="dxa"/>
            </w:tcMar>
            <w:vAlign w:val="center"/>
          </w:tcPr>
          <w:p w:rsidR="00852550" w:rsidRPr="003F32CE" w:rsidRDefault="002916A7">
            <w:pPr>
              <w:jc w:val="center"/>
              <w:rPr>
                <w:rFonts w:ascii="Arial" w:hAnsi="Arial" w:cs="Arial"/>
                <w:color w:val="000000"/>
                <w:sz w:val="20"/>
                <w:szCs w:val="20"/>
              </w:rPr>
            </w:pPr>
            <w:r>
              <w:rPr>
                <w:rFonts w:ascii="Arial" w:hAnsi="Arial"/>
                <w:color w:val="000000"/>
                <w:sz w:val="20"/>
                <w:szCs w:val="20"/>
              </w:rPr>
              <w:t>22,03 %</w:t>
            </w:r>
          </w:p>
        </w:tc>
        <w:tc>
          <w:tcPr>
            <w:tcW w:w="1547" w:type="dxa"/>
            <w:noWrap/>
            <w:tcMar>
              <w:top w:w="0" w:type="dxa"/>
              <w:left w:w="108" w:type="dxa"/>
              <w:bottom w:w="0" w:type="dxa"/>
              <w:right w:w="108" w:type="dxa"/>
            </w:tcMar>
            <w:vAlign w:val="center"/>
          </w:tcPr>
          <w:p w:rsidR="00852550" w:rsidRPr="003F32CE" w:rsidRDefault="00F52DF2">
            <w:pPr>
              <w:jc w:val="center"/>
              <w:rPr>
                <w:rFonts w:ascii="Arial" w:hAnsi="Arial" w:cs="Arial"/>
                <w:color w:val="000000"/>
                <w:sz w:val="20"/>
                <w:szCs w:val="20"/>
              </w:rPr>
            </w:pPr>
            <w:r>
              <w:rPr>
                <w:rFonts w:ascii="Arial" w:hAnsi="Arial"/>
                <w:color w:val="000000"/>
                <w:sz w:val="20"/>
                <w:szCs w:val="20"/>
              </w:rPr>
              <w:t>5,29</w:t>
            </w:r>
          </w:p>
        </w:tc>
        <w:tc>
          <w:tcPr>
            <w:tcW w:w="1548" w:type="dxa"/>
            <w:vAlign w:val="center"/>
          </w:tcPr>
          <w:p w:rsidR="00852550" w:rsidRPr="00CD5029" w:rsidRDefault="00852550" w:rsidP="00F21613">
            <w:pPr>
              <w:keepNext/>
              <w:spacing w:before="120" w:after="120"/>
              <w:jc w:val="center"/>
              <w:rPr>
                <w:rFonts w:ascii="Arial" w:hAnsi="Arial" w:cs="Arial"/>
                <w:sz w:val="20"/>
                <w:szCs w:val="20"/>
              </w:rPr>
            </w:pPr>
            <w:r>
              <w:rPr>
                <w:rFonts w:ascii="Arial" w:hAnsi="Arial"/>
                <w:sz w:val="20"/>
                <w:szCs w:val="20"/>
              </w:rPr>
              <w:t>5</w:t>
            </w:r>
          </w:p>
        </w:tc>
      </w:tr>
      <w:tr w:rsidR="00852550" w:rsidRPr="00BE57A5" w:rsidTr="00F21613">
        <w:trPr>
          <w:cantSplit/>
          <w:trHeight w:val="300"/>
        </w:trPr>
        <w:tc>
          <w:tcPr>
            <w:tcW w:w="1547" w:type="dxa"/>
            <w:noWrap/>
            <w:tcMar>
              <w:top w:w="0" w:type="dxa"/>
              <w:left w:w="108" w:type="dxa"/>
              <w:bottom w:w="0" w:type="dxa"/>
              <w:right w:w="108" w:type="dxa"/>
            </w:tcMar>
            <w:vAlign w:val="center"/>
          </w:tcPr>
          <w:p w:rsidR="00852550" w:rsidRPr="00CD5029" w:rsidRDefault="00852550" w:rsidP="00F21613">
            <w:pPr>
              <w:keepNext/>
              <w:spacing w:before="120" w:after="120"/>
              <w:jc w:val="center"/>
              <w:rPr>
                <w:rFonts w:ascii="Arial" w:hAnsi="Arial" w:cs="Arial"/>
                <w:b/>
                <w:sz w:val="20"/>
                <w:szCs w:val="20"/>
              </w:rPr>
            </w:pPr>
            <w:r>
              <w:rPr>
                <w:rFonts w:ascii="Arial" w:hAnsi="Arial"/>
                <w:b/>
                <w:sz w:val="20"/>
                <w:szCs w:val="20"/>
              </w:rPr>
              <w:t>V(a)</w:t>
            </w:r>
          </w:p>
        </w:tc>
        <w:tc>
          <w:tcPr>
            <w:tcW w:w="1547" w:type="dxa"/>
            <w:noWrap/>
            <w:tcMar>
              <w:top w:w="0" w:type="dxa"/>
              <w:left w:w="108" w:type="dxa"/>
              <w:bottom w:w="0" w:type="dxa"/>
              <w:right w:w="108" w:type="dxa"/>
            </w:tcMar>
            <w:vAlign w:val="center"/>
          </w:tcPr>
          <w:p w:rsidR="00852550" w:rsidRPr="00CD5029" w:rsidRDefault="002916A7" w:rsidP="00F21613">
            <w:pPr>
              <w:keepNext/>
              <w:spacing w:before="120" w:after="120"/>
              <w:jc w:val="center"/>
              <w:rPr>
                <w:rFonts w:ascii="Arial" w:hAnsi="Arial" w:cs="Arial"/>
                <w:sz w:val="20"/>
                <w:szCs w:val="20"/>
              </w:rPr>
            </w:pPr>
            <w:r>
              <w:rPr>
                <w:rFonts w:ascii="Arial" w:hAnsi="Arial"/>
                <w:sz w:val="20"/>
                <w:szCs w:val="20"/>
              </w:rPr>
              <w:t>42</w:t>
            </w:r>
          </w:p>
        </w:tc>
        <w:tc>
          <w:tcPr>
            <w:tcW w:w="1547" w:type="dxa"/>
            <w:noWrap/>
            <w:tcMar>
              <w:top w:w="0" w:type="dxa"/>
              <w:left w:w="108" w:type="dxa"/>
              <w:bottom w:w="0" w:type="dxa"/>
              <w:right w:w="108" w:type="dxa"/>
            </w:tcMar>
            <w:vAlign w:val="center"/>
          </w:tcPr>
          <w:p w:rsidR="00852550" w:rsidRPr="003F32CE" w:rsidRDefault="002916A7" w:rsidP="00747191">
            <w:pPr>
              <w:jc w:val="center"/>
              <w:rPr>
                <w:rFonts w:ascii="Arial" w:hAnsi="Arial" w:cs="Arial"/>
                <w:color w:val="000000"/>
                <w:sz w:val="20"/>
                <w:szCs w:val="20"/>
              </w:rPr>
            </w:pPr>
            <w:r>
              <w:rPr>
                <w:rFonts w:ascii="Arial" w:hAnsi="Arial"/>
                <w:color w:val="000000"/>
                <w:sz w:val="20"/>
                <w:szCs w:val="20"/>
              </w:rPr>
              <w:t>23,73 %</w:t>
            </w:r>
          </w:p>
        </w:tc>
        <w:tc>
          <w:tcPr>
            <w:tcW w:w="1547" w:type="dxa"/>
            <w:noWrap/>
            <w:tcMar>
              <w:top w:w="0" w:type="dxa"/>
              <w:left w:w="108" w:type="dxa"/>
              <w:bottom w:w="0" w:type="dxa"/>
              <w:right w:w="108" w:type="dxa"/>
            </w:tcMar>
            <w:vAlign w:val="center"/>
          </w:tcPr>
          <w:p w:rsidR="00852550" w:rsidRPr="003F32CE" w:rsidRDefault="00852550">
            <w:pPr>
              <w:jc w:val="center"/>
              <w:rPr>
                <w:rFonts w:ascii="Arial" w:hAnsi="Arial" w:cs="Arial"/>
                <w:color w:val="000000"/>
                <w:sz w:val="20"/>
                <w:szCs w:val="20"/>
              </w:rPr>
            </w:pPr>
            <w:r>
              <w:rPr>
                <w:rFonts w:ascii="Arial" w:hAnsi="Arial"/>
                <w:color w:val="000000"/>
                <w:sz w:val="20"/>
                <w:szCs w:val="20"/>
              </w:rPr>
              <w:t>5,70</w:t>
            </w:r>
          </w:p>
        </w:tc>
        <w:tc>
          <w:tcPr>
            <w:tcW w:w="1548" w:type="dxa"/>
            <w:vAlign w:val="center"/>
          </w:tcPr>
          <w:p w:rsidR="00852550" w:rsidRPr="00CD5029" w:rsidRDefault="00852550" w:rsidP="00F21613">
            <w:pPr>
              <w:keepNext/>
              <w:spacing w:before="120" w:after="120"/>
              <w:jc w:val="center"/>
              <w:rPr>
                <w:rFonts w:ascii="Arial" w:hAnsi="Arial" w:cs="Arial"/>
                <w:sz w:val="20"/>
                <w:szCs w:val="20"/>
              </w:rPr>
            </w:pPr>
            <w:r>
              <w:rPr>
                <w:rFonts w:ascii="Arial" w:hAnsi="Arial"/>
                <w:sz w:val="20"/>
                <w:szCs w:val="20"/>
              </w:rPr>
              <w:t>6</w:t>
            </w:r>
          </w:p>
        </w:tc>
      </w:tr>
      <w:tr w:rsidR="00852550" w:rsidRPr="00BE57A5" w:rsidTr="00F21613">
        <w:trPr>
          <w:cantSplit/>
          <w:trHeight w:val="300"/>
        </w:trPr>
        <w:tc>
          <w:tcPr>
            <w:tcW w:w="1547" w:type="dxa"/>
            <w:noWrap/>
            <w:tcMar>
              <w:top w:w="0" w:type="dxa"/>
              <w:left w:w="108" w:type="dxa"/>
              <w:bottom w:w="0" w:type="dxa"/>
              <w:right w:w="108" w:type="dxa"/>
            </w:tcMar>
            <w:vAlign w:val="center"/>
          </w:tcPr>
          <w:p w:rsidR="00852550" w:rsidRPr="00CD5029" w:rsidRDefault="00852550" w:rsidP="00F21613">
            <w:pPr>
              <w:keepNext/>
              <w:spacing w:before="120" w:after="120"/>
              <w:jc w:val="center"/>
              <w:rPr>
                <w:rFonts w:ascii="Arial" w:hAnsi="Arial" w:cs="Arial"/>
                <w:b/>
                <w:sz w:val="20"/>
                <w:szCs w:val="20"/>
              </w:rPr>
            </w:pPr>
            <w:r>
              <w:rPr>
                <w:rFonts w:ascii="Arial" w:hAnsi="Arial"/>
                <w:b/>
                <w:sz w:val="20"/>
                <w:szCs w:val="20"/>
              </w:rPr>
              <w:t>V(b)</w:t>
            </w:r>
          </w:p>
        </w:tc>
        <w:tc>
          <w:tcPr>
            <w:tcW w:w="1547" w:type="dxa"/>
            <w:noWrap/>
            <w:tcMar>
              <w:top w:w="0" w:type="dxa"/>
              <w:left w:w="108" w:type="dxa"/>
              <w:bottom w:w="0" w:type="dxa"/>
              <w:right w:w="108" w:type="dxa"/>
            </w:tcMar>
            <w:vAlign w:val="center"/>
          </w:tcPr>
          <w:p w:rsidR="00852550" w:rsidRPr="00CD5029" w:rsidRDefault="00852550" w:rsidP="00F21613">
            <w:pPr>
              <w:keepNext/>
              <w:spacing w:before="120" w:after="120"/>
              <w:jc w:val="center"/>
              <w:rPr>
                <w:rFonts w:ascii="Arial" w:hAnsi="Arial" w:cs="Arial"/>
                <w:sz w:val="20"/>
                <w:szCs w:val="20"/>
              </w:rPr>
            </w:pPr>
            <w:r>
              <w:rPr>
                <w:rFonts w:ascii="Arial" w:hAnsi="Arial"/>
                <w:sz w:val="20"/>
                <w:szCs w:val="20"/>
              </w:rPr>
              <w:t>18</w:t>
            </w:r>
          </w:p>
        </w:tc>
        <w:tc>
          <w:tcPr>
            <w:tcW w:w="1547" w:type="dxa"/>
            <w:noWrap/>
            <w:tcMar>
              <w:top w:w="0" w:type="dxa"/>
              <w:left w:w="108" w:type="dxa"/>
              <w:bottom w:w="0" w:type="dxa"/>
              <w:right w:w="108" w:type="dxa"/>
            </w:tcMar>
            <w:vAlign w:val="center"/>
          </w:tcPr>
          <w:p w:rsidR="00852550" w:rsidRPr="003F32CE" w:rsidRDefault="00852550" w:rsidP="00747191">
            <w:pPr>
              <w:jc w:val="center"/>
              <w:rPr>
                <w:rFonts w:ascii="Arial" w:hAnsi="Arial" w:cs="Arial"/>
                <w:color w:val="000000"/>
                <w:sz w:val="20"/>
                <w:szCs w:val="20"/>
              </w:rPr>
            </w:pPr>
            <w:r>
              <w:rPr>
                <w:rFonts w:ascii="Arial" w:hAnsi="Arial"/>
                <w:color w:val="000000"/>
                <w:sz w:val="20"/>
                <w:szCs w:val="20"/>
              </w:rPr>
              <w:t>10,17 %</w:t>
            </w:r>
          </w:p>
        </w:tc>
        <w:tc>
          <w:tcPr>
            <w:tcW w:w="1547" w:type="dxa"/>
            <w:noWrap/>
            <w:tcMar>
              <w:top w:w="0" w:type="dxa"/>
              <w:left w:w="108" w:type="dxa"/>
              <w:bottom w:w="0" w:type="dxa"/>
              <w:right w:w="108" w:type="dxa"/>
            </w:tcMar>
            <w:vAlign w:val="center"/>
          </w:tcPr>
          <w:p w:rsidR="00852550" w:rsidRPr="003F32CE" w:rsidRDefault="00852550">
            <w:pPr>
              <w:jc w:val="center"/>
              <w:rPr>
                <w:rFonts w:ascii="Arial" w:hAnsi="Arial" w:cs="Arial"/>
                <w:color w:val="000000"/>
                <w:sz w:val="20"/>
                <w:szCs w:val="20"/>
              </w:rPr>
            </w:pPr>
            <w:r>
              <w:rPr>
                <w:rFonts w:ascii="Arial" w:hAnsi="Arial"/>
                <w:color w:val="000000"/>
                <w:sz w:val="20"/>
                <w:szCs w:val="20"/>
              </w:rPr>
              <w:t>2,44</w:t>
            </w:r>
          </w:p>
        </w:tc>
        <w:tc>
          <w:tcPr>
            <w:tcW w:w="1548" w:type="dxa"/>
            <w:vAlign w:val="center"/>
          </w:tcPr>
          <w:p w:rsidR="00852550" w:rsidRPr="00CD5029" w:rsidRDefault="00852550" w:rsidP="00F21613">
            <w:pPr>
              <w:keepNext/>
              <w:spacing w:before="120" w:after="120"/>
              <w:jc w:val="center"/>
              <w:rPr>
                <w:rFonts w:ascii="Arial" w:hAnsi="Arial" w:cs="Arial"/>
                <w:sz w:val="20"/>
                <w:szCs w:val="20"/>
              </w:rPr>
            </w:pPr>
            <w:r>
              <w:rPr>
                <w:rFonts w:ascii="Arial" w:hAnsi="Arial"/>
                <w:sz w:val="20"/>
                <w:szCs w:val="20"/>
              </w:rPr>
              <w:t>3</w:t>
            </w:r>
          </w:p>
        </w:tc>
      </w:tr>
      <w:tr w:rsidR="008B713F" w:rsidRPr="00BE57A5" w:rsidTr="00F21613">
        <w:trPr>
          <w:cantSplit/>
          <w:trHeight w:val="300"/>
        </w:trPr>
        <w:tc>
          <w:tcPr>
            <w:tcW w:w="1547" w:type="dxa"/>
            <w:noWrap/>
            <w:tcMar>
              <w:top w:w="0" w:type="dxa"/>
              <w:left w:w="108" w:type="dxa"/>
              <w:bottom w:w="0" w:type="dxa"/>
              <w:right w:w="108" w:type="dxa"/>
            </w:tcMar>
            <w:vAlign w:val="center"/>
          </w:tcPr>
          <w:p w:rsidR="008B713F" w:rsidRPr="00CD5029" w:rsidRDefault="008B713F" w:rsidP="00F21613">
            <w:pPr>
              <w:spacing w:before="120" w:after="120"/>
              <w:jc w:val="center"/>
              <w:rPr>
                <w:rFonts w:ascii="Arial" w:hAnsi="Arial" w:cs="Arial"/>
                <w:b/>
                <w:sz w:val="20"/>
                <w:szCs w:val="20"/>
              </w:rPr>
            </w:pPr>
            <w:r>
              <w:rPr>
                <w:rFonts w:ascii="Arial" w:hAnsi="Arial"/>
                <w:b/>
                <w:sz w:val="20"/>
                <w:szCs w:val="20"/>
              </w:rPr>
              <w:t>Total</w:t>
            </w:r>
          </w:p>
        </w:tc>
        <w:tc>
          <w:tcPr>
            <w:tcW w:w="1547" w:type="dxa"/>
            <w:noWrap/>
            <w:tcMar>
              <w:top w:w="0" w:type="dxa"/>
              <w:left w:w="108" w:type="dxa"/>
              <w:bottom w:w="0" w:type="dxa"/>
              <w:right w:w="108" w:type="dxa"/>
            </w:tcMar>
            <w:vAlign w:val="center"/>
          </w:tcPr>
          <w:p w:rsidR="008B713F" w:rsidRPr="00CD5029" w:rsidRDefault="002916A7" w:rsidP="00747191">
            <w:pPr>
              <w:spacing w:before="120" w:after="120"/>
              <w:jc w:val="center"/>
              <w:rPr>
                <w:rFonts w:ascii="Arial" w:hAnsi="Arial" w:cs="Arial"/>
                <w:b/>
                <w:sz w:val="20"/>
                <w:szCs w:val="20"/>
              </w:rPr>
            </w:pPr>
            <w:r>
              <w:rPr>
                <w:rFonts w:ascii="Arial" w:hAnsi="Arial"/>
                <w:b/>
                <w:sz w:val="20"/>
                <w:szCs w:val="20"/>
              </w:rPr>
              <w:t>177</w:t>
            </w:r>
          </w:p>
        </w:tc>
        <w:tc>
          <w:tcPr>
            <w:tcW w:w="1547" w:type="dxa"/>
            <w:noWrap/>
            <w:tcMar>
              <w:top w:w="0" w:type="dxa"/>
              <w:left w:w="108" w:type="dxa"/>
              <w:bottom w:w="0" w:type="dxa"/>
              <w:right w:w="108" w:type="dxa"/>
            </w:tcMar>
            <w:vAlign w:val="center"/>
          </w:tcPr>
          <w:p w:rsidR="008B713F" w:rsidRPr="00CD5029" w:rsidRDefault="008B713F" w:rsidP="00F21613">
            <w:pPr>
              <w:spacing w:before="120" w:after="120"/>
              <w:jc w:val="center"/>
              <w:rPr>
                <w:rFonts w:ascii="Arial" w:hAnsi="Arial" w:cs="Arial"/>
                <w:b/>
                <w:sz w:val="20"/>
                <w:szCs w:val="20"/>
              </w:rPr>
            </w:pPr>
            <w:r>
              <w:rPr>
                <w:rFonts w:ascii="Arial" w:hAnsi="Arial"/>
                <w:b/>
                <w:sz w:val="20"/>
                <w:szCs w:val="20"/>
              </w:rPr>
              <w:t>100,00</w:t>
            </w:r>
            <w:r w:rsidR="001472DB">
              <w:rPr>
                <w:rFonts w:ascii="Arial" w:hAnsi="Arial"/>
                <w:b/>
                <w:sz w:val="20"/>
                <w:szCs w:val="20"/>
                <w:lang w:val="en-US"/>
              </w:rPr>
              <w:t> </w:t>
            </w:r>
            <w:r>
              <w:rPr>
                <w:rFonts w:ascii="Arial" w:hAnsi="Arial"/>
                <w:b/>
                <w:sz w:val="20"/>
                <w:szCs w:val="20"/>
              </w:rPr>
              <w:t>%</w:t>
            </w:r>
          </w:p>
        </w:tc>
        <w:tc>
          <w:tcPr>
            <w:tcW w:w="1547" w:type="dxa"/>
            <w:noWrap/>
            <w:tcMar>
              <w:top w:w="0" w:type="dxa"/>
              <w:left w:w="108" w:type="dxa"/>
              <w:bottom w:w="0" w:type="dxa"/>
              <w:right w:w="108" w:type="dxa"/>
            </w:tcMar>
            <w:vAlign w:val="center"/>
          </w:tcPr>
          <w:p w:rsidR="008B713F" w:rsidRPr="00CD5029" w:rsidRDefault="008B713F" w:rsidP="00F21613">
            <w:pPr>
              <w:tabs>
                <w:tab w:val="left" w:pos="1050"/>
              </w:tabs>
              <w:spacing w:before="120" w:after="120"/>
              <w:jc w:val="center"/>
              <w:rPr>
                <w:rFonts w:ascii="Arial" w:hAnsi="Arial" w:cs="Arial"/>
                <w:b/>
                <w:sz w:val="20"/>
                <w:szCs w:val="20"/>
              </w:rPr>
            </w:pPr>
            <w:r>
              <w:rPr>
                <w:rFonts w:ascii="Arial" w:hAnsi="Arial"/>
                <w:b/>
                <w:sz w:val="20"/>
                <w:szCs w:val="20"/>
              </w:rPr>
              <w:t>24</w:t>
            </w:r>
          </w:p>
        </w:tc>
        <w:tc>
          <w:tcPr>
            <w:tcW w:w="1548" w:type="dxa"/>
            <w:vAlign w:val="center"/>
          </w:tcPr>
          <w:p w:rsidR="008B713F" w:rsidRPr="00CD5029" w:rsidRDefault="008B713F" w:rsidP="00F21613">
            <w:pPr>
              <w:spacing w:before="120" w:after="120"/>
              <w:jc w:val="center"/>
              <w:rPr>
                <w:rFonts w:ascii="Arial" w:hAnsi="Arial" w:cs="Arial"/>
                <w:b/>
                <w:sz w:val="20"/>
                <w:szCs w:val="20"/>
              </w:rPr>
            </w:pPr>
            <w:r>
              <w:rPr>
                <w:rFonts w:ascii="Arial" w:hAnsi="Arial"/>
                <w:b/>
                <w:sz w:val="20"/>
                <w:szCs w:val="20"/>
              </w:rPr>
              <w:t>24</w:t>
            </w:r>
          </w:p>
        </w:tc>
      </w:tr>
    </w:tbl>
    <w:p w:rsidR="008B713F" w:rsidRPr="00EA528C" w:rsidRDefault="008B713F" w:rsidP="008B713F">
      <w:pPr>
        <w:pStyle w:val="GAPara"/>
        <w:spacing w:before="240"/>
      </w:pPr>
      <w:r>
        <w:t>L</w:t>
      </w:r>
      <w:r w:rsidR="001472DB">
        <w:t>’</w:t>
      </w:r>
      <w:r>
        <w:t>Assemblée générale souhaitera peut-être adopter la décision suivante :</w:t>
      </w:r>
    </w:p>
    <w:p w:rsidR="008B713F" w:rsidRPr="00FD624F" w:rsidRDefault="008B713F" w:rsidP="008B713F">
      <w:pPr>
        <w:pStyle w:val="GATitleResolution"/>
        <w:spacing w:before="360"/>
        <w:rPr>
          <w:rFonts w:eastAsia="SimSun"/>
        </w:rPr>
      </w:pPr>
      <w:r>
        <w:t>PROJET DE RÉSOLUTION 7.GA 4</w:t>
      </w:r>
    </w:p>
    <w:p w:rsidR="008B713F" w:rsidRPr="0019377F" w:rsidRDefault="008B713F" w:rsidP="008B713F">
      <w:pPr>
        <w:spacing w:before="240" w:after="120"/>
        <w:ind w:left="1134" w:hanging="567"/>
        <w:jc w:val="both"/>
        <w:rPr>
          <w:rFonts w:ascii="Arial" w:eastAsia="SimSun" w:hAnsi="Arial" w:cs="Arial"/>
          <w:sz w:val="22"/>
          <w:szCs w:val="22"/>
        </w:rPr>
      </w:pPr>
      <w:r>
        <w:rPr>
          <w:rFonts w:ascii="Arial" w:hAnsi="Arial"/>
          <w:sz w:val="22"/>
          <w:szCs w:val="22"/>
        </w:rPr>
        <w:t>L</w:t>
      </w:r>
      <w:r w:rsidR="001472DB">
        <w:rPr>
          <w:rFonts w:ascii="Arial" w:hAnsi="Arial"/>
          <w:sz w:val="22"/>
          <w:szCs w:val="22"/>
        </w:rPr>
        <w:t>’</w:t>
      </w:r>
      <w:r>
        <w:rPr>
          <w:rFonts w:ascii="Arial" w:hAnsi="Arial"/>
          <w:sz w:val="22"/>
          <w:szCs w:val="22"/>
        </w:rPr>
        <w:t>Assemblée générale,</w:t>
      </w:r>
    </w:p>
    <w:p w:rsidR="008B713F" w:rsidRPr="0019377F" w:rsidRDefault="008B713F" w:rsidP="008B713F">
      <w:pPr>
        <w:spacing w:before="120" w:after="120"/>
        <w:ind w:left="1134" w:hanging="567"/>
        <w:jc w:val="both"/>
        <w:rPr>
          <w:rFonts w:ascii="Arial" w:eastAsia="SimSun" w:hAnsi="Arial" w:cs="Arial"/>
          <w:sz w:val="22"/>
          <w:szCs w:val="22"/>
        </w:rPr>
      </w:pPr>
      <w:r>
        <w:rPr>
          <w:rFonts w:ascii="Arial" w:hAnsi="Arial"/>
          <w:sz w:val="22"/>
          <w:szCs w:val="22"/>
        </w:rPr>
        <w:t>1.</w:t>
      </w:r>
      <w:r>
        <w:rPr>
          <w:rFonts w:ascii="Arial" w:hAnsi="Arial"/>
          <w:sz w:val="22"/>
          <w:szCs w:val="22"/>
        </w:rPr>
        <w:tab/>
      </w:r>
      <w:r>
        <w:rPr>
          <w:rFonts w:ascii="Arial" w:hAnsi="Arial"/>
          <w:sz w:val="22"/>
          <w:szCs w:val="22"/>
          <w:u w:val="single"/>
        </w:rPr>
        <w:t>Ayant examiné</w:t>
      </w:r>
      <w:r>
        <w:rPr>
          <w:rFonts w:ascii="Arial" w:hAnsi="Arial"/>
          <w:sz w:val="22"/>
          <w:szCs w:val="22"/>
        </w:rPr>
        <w:t xml:space="preserve"> le document ITH/18/7.GA/4,</w:t>
      </w:r>
    </w:p>
    <w:p w:rsidR="008B713F" w:rsidRPr="0019377F" w:rsidRDefault="008B713F" w:rsidP="008B713F">
      <w:pPr>
        <w:spacing w:before="120" w:after="120"/>
        <w:ind w:left="1134" w:hanging="567"/>
        <w:jc w:val="both"/>
        <w:rPr>
          <w:rFonts w:ascii="Arial" w:eastAsia="SimSun" w:hAnsi="Arial" w:cs="Arial"/>
          <w:sz w:val="22"/>
          <w:szCs w:val="22"/>
        </w:rPr>
      </w:pPr>
      <w:r>
        <w:rPr>
          <w:rFonts w:ascii="Arial" w:hAnsi="Arial"/>
          <w:sz w:val="22"/>
          <w:szCs w:val="22"/>
        </w:rPr>
        <w:t>2.</w:t>
      </w:r>
      <w:r>
        <w:rPr>
          <w:rFonts w:ascii="Arial" w:hAnsi="Arial"/>
          <w:sz w:val="22"/>
          <w:szCs w:val="22"/>
        </w:rPr>
        <w:tab/>
      </w:r>
      <w:r>
        <w:rPr>
          <w:rFonts w:ascii="Arial" w:hAnsi="Arial"/>
          <w:sz w:val="22"/>
          <w:szCs w:val="22"/>
          <w:u w:val="single"/>
        </w:rPr>
        <w:t>Rappelant</w:t>
      </w:r>
      <w:r>
        <w:rPr>
          <w:rFonts w:ascii="Arial" w:hAnsi="Arial"/>
          <w:sz w:val="22"/>
          <w:szCs w:val="22"/>
        </w:rPr>
        <w:t xml:space="preserve"> l</w:t>
      </w:r>
      <w:r w:rsidR="001472DB">
        <w:rPr>
          <w:rFonts w:ascii="Arial" w:hAnsi="Arial"/>
          <w:sz w:val="22"/>
          <w:szCs w:val="22"/>
        </w:rPr>
        <w:t>’</w:t>
      </w:r>
      <w:r>
        <w:rPr>
          <w:rFonts w:ascii="Arial" w:hAnsi="Arial"/>
          <w:sz w:val="22"/>
          <w:szCs w:val="22"/>
        </w:rPr>
        <w:t>article 6 de la Convention,</w:t>
      </w:r>
    </w:p>
    <w:p w:rsidR="008B713F" w:rsidRPr="0019377F" w:rsidRDefault="008B713F" w:rsidP="008B713F">
      <w:pPr>
        <w:spacing w:before="120" w:after="120"/>
        <w:ind w:left="1134" w:hanging="567"/>
        <w:jc w:val="both"/>
        <w:rPr>
          <w:rFonts w:ascii="Arial" w:eastAsia="SimSun" w:hAnsi="Arial" w:cs="Arial"/>
          <w:sz w:val="22"/>
          <w:szCs w:val="22"/>
        </w:rPr>
      </w:pPr>
      <w:r>
        <w:rPr>
          <w:rFonts w:ascii="Arial" w:hAnsi="Arial"/>
          <w:sz w:val="22"/>
          <w:szCs w:val="22"/>
        </w:rPr>
        <w:t>3.</w:t>
      </w:r>
      <w:r>
        <w:rPr>
          <w:rFonts w:ascii="Arial" w:hAnsi="Arial"/>
          <w:sz w:val="22"/>
          <w:szCs w:val="22"/>
        </w:rPr>
        <w:tab/>
      </w:r>
      <w:r>
        <w:rPr>
          <w:rFonts w:ascii="Arial" w:hAnsi="Arial"/>
          <w:sz w:val="22"/>
          <w:szCs w:val="22"/>
          <w:u w:val="single"/>
        </w:rPr>
        <w:t>Rappelant en outre</w:t>
      </w:r>
      <w:r>
        <w:rPr>
          <w:rFonts w:ascii="Arial" w:hAnsi="Arial"/>
          <w:sz w:val="22"/>
          <w:szCs w:val="22"/>
        </w:rPr>
        <w:t xml:space="preserve"> l</w:t>
      </w:r>
      <w:r w:rsidR="001472DB">
        <w:rPr>
          <w:rFonts w:ascii="Arial" w:hAnsi="Arial"/>
          <w:sz w:val="22"/>
          <w:szCs w:val="22"/>
        </w:rPr>
        <w:t>’</w:t>
      </w:r>
      <w:r>
        <w:rPr>
          <w:rFonts w:ascii="Arial" w:hAnsi="Arial"/>
          <w:sz w:val="22"/>
          <w:szCs w:val="22"/>
        </w:rPr>
        <w:t>article 13 de son Règlement intérieur, ainsi que la résolution 3.GA 12,</w:t>
      </w:r>
    </w:p>
    <w:p w:rsidR="008B713F" w:rsidRPr="00642A7D" w:rsidRDefault="008B713F" w:rsidP="00642A7D">
      <w:pPr>
        <w:spacing w:before="120" w:after="120"/>
        <w:ind w:left="1134" w:hanging="567"/>
        <w:jc w:val="both"/>
      </w:pPr>
      <w:r>
        <w:rPr>
          <w:rFonts w:ascii="Arial" w:hAnsi="Arial"/>
          <w:sz w:val="22"/>
          <w:szCs w:val="22"/>
        </w:rPr>
        <w:t>4.</w:t>
      </w:r>
      <w:r>
        <w:rPr>
          <w:rFonts w:ascii="Arial" w:hAnsi="Arial"/>
          <w:sz w:val="22"/>
          <w:szCs w:val="22"/>
        </w:rPr>
        <w:tab/>
      </w:r>
      <w:r>
        <w:rPr>
          <w:rFonts w:ascii="Arial" w:hAnsi="Arial"/>
          <w:sz w:val="22"/>
          <w:szCs w:val="22"/>
          <w:u w:val="single"/>
        </w:rPr>
        <w:t>Décide</w:t>
      </w:r>
      <w:r>
        <w:rPr>
          <w:rFonts w:ascii="Arial" w:hAnsi="Arial"/>
          <w:sz w:val="22"/>
          <w:szCs w:val="22"/>
        </w:rPr>
        <w:t xml:space="preserve"> qu</w:t>
      </w:r>
      <w:r w:rsidR="001472DB">
        <w:rPr>
          <w:rFonts w:ascii="Arial" w:hAnsi="Arial"/>
          <w:sz w:val="22"/>
          <w:szCs w:val="22"/>
        </w:rPr>
        <w:t>’</w:t>
      </w:r>
      <w:r>
        <w:rPr>
          <w:rFonts w:ascii="Arial" w:hAnsi="Arial"/>
          <w:sz w:val="22"/>
          <w:szCs w:val="22"/>
        </w:rPr>
        <w:t>aux fins de l</w:t>
      </w:r>
      <w:r w:rsidR="001472DB">
        <w:rPr>
          <w:rFonts w:ascii="Arial" w:hAnsi="Arial"/>
          <w:sz w:val="22"/>
          <w:szCs w:val="22"/>
        </w:rPr>
        <w:t>’</w:t>
      </w:r>
      <w:r>
        <w:rPr>
          <w:rFonts w:ascii="Arial" w:hAnsi="Arial"/>
          <w:sz w:val="22"/>
          <w:szCs w:val="22"/>
        </w:rPr>
        <w:t>élection à sa septième session, les 24 sièges du Comité seront répartis entre les groupes électoraux comme suit : Groupe I, trois sièges ; Groupe II, trois sièges ; Groupe III, quatre sièges ; Groupe IV, cinq sièges ; Groupe V(a), six sièges ; Groupe V(b), trois sièges.</w:t>
      </w:r>
    </w:p>
    <w:sectPr w:rsidR="008B713F" w:rsidRPr="00642A7D"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866" w:rsidRDefault="00852866" w:rsidP="00655736">
      <w:r>
        <w:separator/>
      </w:r>
    </w:p>
  </w:endnote>
  <w:endnote w:type="continuationSeparator" w:id="0">
    <w:p w:rsidR="00852866" w:rsidRDefault="00852866"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866" w:rsidRDefault="00852866" w:rsidP="00655736">
      <w:r>
        <w:separator/>
      </w:r>
    </w:p>
  </w:footnote>
  <w:footnote w:type="continuationSeparator" w:id="0">
    <w:p w:rsidR="00852866" w:rsidRDefault="00852866"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C23A97" w:rsidRDefault="002D02C0">
    <w:pPr>
      <w:pStyle w:val="Header"/>
      <w:rPr>
        <w:rFonts w:ascii="Arial" w:hAnsi="Arial" w:cs="Arial"/>
      </w:rPr>
    </w:pPr>
    <w:r>
      <w:rPr>
        <w:rFonts w:ascii="Arial" w:hAnsi="Arial"/>
        <w:sz w:val="20"/>
        <w:szCs w:val="20"/>
      </w:rPr>
      <w:t xml:space="preserve">ITH/18/7.GA/4 – page </w:t>
    </w:r>
    <w:r w:rsidR="00D95C4C" w:rsidRPr="00C23A97">
      <w:rPr>
        <w:rStyle w:val="PageNumber"/>
        <w:rFonts w:ascii="Arial" w:hAnsi="Arial" w:cs="Arial"/>
        <w:sz w:val="20"/>
        <w:szCs w:val="20"/>
      </w:rPr>
      <w:fldChar w:fldCharType="begin"/>
    </w:r>
    <w:r w:rsidR="00D95C4C" w:rsidRPr="00C23A97">
      <w:rPr>
        <w:rStyle w:val="PageNumber"/>
        <w:rFonts w:ascii="Arial" w:hAnsi="Arial" w:cs="Arial"/>
        <w:sz w:val="20"/>
        <w:szCs w:val="20"/>
      </w:rPr>
      <w:instrText xml:space="preserve"> PAGE </w:instrText>
    </w:r>
    <w:r w:rsidR="00D95C4C" w:rsidRPr="00C23A97">
      <w:rPr>
        <w:rStyle w:val="PageNumber"/>
        <w:rFonts w:ascii="Arial" w:hAnsi="Arial" w:cs="Arial"/>
        <w:sz w:val="20"/>
        <w:szCs w:val="20"/>
      </w:rPr>
      <w:fldChar w:fldCharType="separate"/>
    </w:r>
    <w:r w:rsidR="00B904E9">
      <w:rPr>
        <w:rStyle w:val="PageNumber"/>
        <w:rFonts w:ascii="Arial" w:hAnsi="Arial" w:cs="Arial"/>
        <w:noProof/>
        <w:sz w:val="20"/>
        <w:szCs w:val="20"/>
      </w:rPr>
      <w:t>2</w:t>
    </w:r>
    <w:r w:rsidR="00D95C4C"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63300C" w:rsidRDefault="00852550" w:rsidP="0063300C">
    <w:pPr>
      <w:pStyle w:val="Header"/>
      <w:jc w:val="right"/>
      <w:rPr>
        <w:rFonts w:ascii="Arial" w:hAnsi="Arial" w:cs="Arial"/>
      </w:rPr>
    </w:pPr>
    <w:r>
      <w:rPr>
        <w:rFonts w:ascii="Arial" w:hAnsi="Arial"/>
        <w:sz w:val="20"/>
        <w:szCs w:val="20"/>
      </w:rPr>
      <w:t xml:space="preserve">ITH/18/7.GA/4 – page </w:t>
    </w:r>
    <w:r w:rsidR="004A34A0" w:rsidRPr="0063300C">
      <w:rPr>
        <w:rStyle w:val="PageNumber"/>
        <w:rFonts w:ascii="Arial" w:hAnsi="Arial" w:cs="Arial"/>
        <w:sz w:val="20"/>
        <w:szCs w:val="20"/>
      </w:rPr>
      <w:fldChar w:fldCharType="begin"/>
    </w:r>
    <w:r w:rsidR="004A34A0" w:rsidRPr="0063300C">
      <w:rPr>
        <w:rStyle w:val="PageNumber"/>
        <w:rFonts w:ascii="Arial" w:hAnsi="Arial" w:cs="Arial"/>
        <w:sz w:val="20"/>
        <w:szCs w:val="20"/>
      </w:rPr>
      <w:instrText xml:space="preserve"> PAGE </w:instrText>
    </w:r>
    <w:r w:rsidR="004A34A0" w:rsidRPr="0063300C">
      <w:rPr>
        <w:rStyle w:val="PageNumber"/>
        <w:rFonts w:ascii="Arial" w:hAnsi="Arial" w:cs="Arial"/>
        <w:sz w:val="20"/>
        <w:szCs w:val="20"/>
      </w:rPr>
      <w:fldChar w:fldCharType="separate"/>
    </w:r>
    <w:r w:rsidR="00B904E9">
      <w:rPr>
        <w:rStyle w:val="PageNumber"/>
        <w:rFonts w:ascii="Arial" w:hAnsi="Arial" w:cs="Arial"/>
        <w:noProof/>
        <w:sz w:val="20"/>
        <w:szCs w:val="20"/>
      </w:rPr>
      <w:t>3</w:t>
    </w:r>
    <w:r w:rsidR="004A34A0"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8724E5" w:rsidRDefault="000D115C">
    <w:pPr>
      <w:pStyle w:val="Header"/>
    </w:pPr>
    <w:r>
      <w:rPr>
        <w:noProof/>
        <w:lang w:val="en-US" w:eastAsia="ko-KR"/>
      </w:rPr>
      <w:drawing>
        <wp:anchor distT="0" distB="0" distL="114300" distR="114300" simplePos="0" relativeHeight="251659776" behindDoc="0" locked="0" layoutInCell="1" allowOverlap="1" wp14:anchorId="7AD5B0D2" wp14:editId="72ED6292">
          <wp:simplePos x="0" y="0"/>
          <wp:positionH relativeFrom="page">
            <wp:posOffset>342265</wp:posOffset>
          </wp:positionH>
          <wp:positionV relativeFrom="page">
            <wp:posOffset>255905</wp:posOffset>
          </wp:positionV>
          <wp:extent cx="2037600" cy="1530000"/>
          <wp:effectExtent l="0" t="0" r="1270" b="0"/>
          <wp:wrapNone/>
          <wp:docPr id="15"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5C4C" w:rsidRPr="00C23A97" w:rsidRDefault="002D02C0" w:rsidP="00655736">
    <w:pPr>
      <w:pStyle w:val="Header"/>
      <w:spacing w:after="520"/>
      <w:jc w:val="right"/>
      <w:rPr>
        <w:rFonts w:ascii="Arial" w:hAnsi="Arial" w:cs="Arial"/>
        <w:b/>
        <w:sz w:val="44"/>
        <w:szCs w:val="44"/>
      </w:rPr>
    </w:pPr>
    <w:r>
      <w:rPr>
        <w:rFonts w:ascii="Arial" w:hAnsi="Arial"/>
        <w:b/>
        <w:sz w:val="44"/>
        <w:szCs w:val="44"/>
      </w:rPr>
      <w:t>7 GA</w:t>
    </w:r>
  </w:p>
  <w:p w:rsidR="00D95C4C" w:rsidRPr="00C23A97" w:rsidRDefault="00763A0D" w:rsidP="00655736">
    <w:pPr>
      <w:jc w:val="right"/>
      <w:rPr>
        <w:rFonts w:ascii="Arial" w:hAnsi="Arial" w:cs="Arial"/>
        <w:b/>
        <w:sz w:val="22"/>
        <w:szCs w:val="22"/>
      </w:rPr>
    </w:pPr>
    <w:r>
      <w:rPr>
        <w:rFonts w:ascii="Arial" w:hAnsi="Arial"/>
        <w:b/>
        <w:sz w:val="22"/>
        <w:szCs w:val="22"/>
      </w:rPr>
      <w:t>ITH/18/7.GA/4</w:t>
    </w:r>
  </w:p>
  <w:p w:rsidR="00D95C4C" w:rsidRPr="00C23A97" w:rsidRDefault="00D95C4C" w:rsidP="003A6E61">
    <w:pPr>
      <w:jc w:val="right"/>
      <w:rPr>
        <w:rFonts w:ascii="Arial" w:hAnsi="Arial" w:cs="Arial"/>
        <w:b/>
        <w:sz w:val="22"/>
        <w:szCs w:val="22"/>
      </w:rPr>
    </w:pPr>
    <w:r>
      <w:rPr>
        <w:rFonts w:ascii="Arial" w:hAnsi="Arial"/>
        <w:b/>
        <w:sz w:val="22"/>
        <w:szCs w:val="22"/>
      </w:rPr>
      <w:t xml:space="preserve">Paris, </w:t>
    </w:r>
    <w:r w:rsidR="00B904E9">
      <w:rPr>
        <w:rFonts w:ascii="Arial" w:hAnsi="Arial"/>
        <w:b/>
        <w:sz w:val="22"/>
        <w:szCs w:val="22"/>
      </w:rPr>
      <w:t xml:space="preserve">le </w:t>
    </w:r>
    <w:r w:rsidR="003A6E61">
      <w:rPr>
        <w:rFonts w:ascii="Arial" w:hAnsi="Arial"/>
        <w:b/>
        <w:sz w:val="22"/>
        <w:szCs w:val="22"/>
      </w:rPr>
      <w:t>2 mai</w:t>
    </w:r>
    <w:r>
      <w:rPr>
        <w:rFonts w:ascii="Arial" w:hAnsi="Arial"/>
        <w:b/>
        <w:sz w:val="22"/>
        <w:szCs w:val="22"/>
      </w:rPr>
      <w:t xml:space="preserve"> 2018</w:t>
    </w:r>
  </w:p>
  <w:p w:rsidR="00D95C4C" w:rsidRDefault="00D95C4C" w:rsidP="000048ED">
    <w:pPr>
      <w:jc w:val="right"/>
      <w:rPr>
        <w:rFonts w:ascii="Arial" w:hAnsi="Arial" w:cs="Arial"/>
        <w:b/>
        <w:sz w:val="22"/>
        <w:szCs w:val="22"/>
      </w:rPr>
    </w:pPr>
    <w:r>
      <w:rPr>
        <w:rFonts w:ascii="Arial" w:hAnsi="Arial"/>
        <w:b/>
        <w:sz w:val="22"/>
        <w:szCs w:val="22"/>
      </w:rPr>
      <w:t>Original : anglais</w:t>
    </w:r>
  </w:p>
  <w:p w:rsidR="002D02C0" w:rsidRPr="003A6E61" w:rsidRDefault="002D02C0" w:rsidP="002D02C0">
    <w:pP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1"/>
  </w:num>
  <w:num w:numId="5">
    <w:abstractNumId w:val="10"/>
  </w:num>
  <w:num w:numId="6">
    <w:abstractNumId w:val="0"/>
  </w:num>
  <w:num w:numId="7">
    <w:abstractNumId w:val="2"/>
  </w:num>
  <w:num w:numId="8">
    <w:abstractNumId w:val="8"/>
  </w:num>
  <w:num w:numId="9">
    <w:abstractNumId w:val="3"/>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6"/>
    <w:rsid w:val="000048ED"/>
    <w:rsid w:val="0004117D"/>
    <w:rsid w:val="00041A66"/>
    <w:rsid w:val="0005176E"/>
    <w:rsid w:val="000765F7"/>
    <w:rsid w:val="00077AB7"/>
    <w:rsid w:val="00081CD8"/>
    <w:rsid w:val="000A7F0E"/>
    <w:rsid w:val="000C0D61"/>
    <w:rsid w:val="000D115C"/>
    <w:rsid w:val="000F3A3F"/>
    <w:rsid w:val="00102557"/>
    <w:rsid w:val="001472DB"/>
    <w:rsid w:val="00164D56"/>
    <w:rsid w:val="00167B10"/>
    <w:rsid w:val="0017402F"/>
    <w:rsid w:val="00196C1B"/>
    <w:rsid w:val="001B0F73"/>
    <w:rsid w:val="001D5C04"/>
    <w:rsid w:val="00222A2D"/>
    <w:rsid w:val="00223029"/>
    <w:rsid w:val="00234745"/>
    <w:rsid w:val="002407AF"/>
    <w:rsid w:val="002916A7"/>
    <w:rsid w:val="002C09E3"/>
    <w:rsid w:val="002D02C0"/>
    <w:rsid w:val="00301D2A"/>
    <w:rsid w:val="00345CB4"/>
    <w:rsid w:val="00373B01"/>
    <w:rsid w:val="003A6E61"/>
    <w:rsid w:val="003C2913"/>
    <w:rsid w:val="003D069C"/>
    <w:rsid w:val="003D7646"/>
    <w:rsid w:val="003E6748"/>
    <w:rsid w:val="003F113A"/>
    <w:rsid w:val="003F32CE"/>
    <w:rsid w:val="00400461"/>
    <w:rsid w:val="00414643"/>
    <w:rsid w:val="004421E5"/>
    <w:rsid w:val="00452284"/>
    <w:rsid w:val="004856CA"/>
    <w:rsid w:val="0049705E"/>
    <w:rsid w:val="004A34A0"/>
    <w:rsid w:val="004C58F9"/>
    <w:rsid w:val="00523789"/>
    <w:rsid w:val="00526B7B"/>
    <w:rsid w:val="005308CE"/>
    <w:rsid w:val="00560DC6"/>
    <w:rsid w:val="0057439C"/>
    <w:rsid w:val="005822A4"/>
    <w:rsid w:val="005B0127"/>
    <w:rsid w:val="005B7A35"/>
    <w:rsid w:val="005C4B73"/>
    <w:rsid w:val="005E1D2B"/>
    <w:rsid w:val="00600D93"/>
    <w:rsid w:val="0063300C"/>
    <w:rsid w:val="00642A7D"/>
    <w:rsid w:val="00655736"/>
    <w:rsid w:val="00663B8D"/>
    <w:rsid w:val="00696C8D"/>
    <w:rsid w:val="006A2AC2"/>
    <w:rsid w:val="006A3617"/>
    <w:rsid w:val="006C38A9"/>
    <w:rsid w:val="006E46E4"/>
    <w:rsid w:val="00717DA5"/>
    <w:rsid w:val="007213B9"/>
    <w:rsid w:val="00744484"/>
    <w:rsid w:val="00747191"/>
    <w:rsid w:val="00763A0D"/>
    <w:rsid w:val="00773188"/>
    <w:rsid w:val="00783782"/>
    <w:rsid w:val="00784B8C"/>
    <w:rsid w:val="00804CCA"/>
    <w:rsid w:val="00812F70"/>
    <w:rsid w:val="00823A11"/>
    <w:rsid w:val="00852550"/>
    <w:rsid w:val="00852866"/>
    <w:rsid w:val="0085414A"/>
    <w:rsid w:val="0086269D"/>
    <w:rsid w:val="0086543A"/>
    <w:rsid w:val="008724E5"/>
    <w:rsid w:val="00884A9D"/>
    <w:rsid w:val="0088512B"/>
    <w:rsid w:val="008A2B2D"/>
    <w:rsid w:val="008A4E1E"/>
    <w:rsid w:val="008B713F"/>
    <w:rsid w:val="008C296C"/>
    <w:rsid w:val="008D4305"/>
    <w:rsid w:val="009163A7"/>
    <w:rsid w:val="00946D0B"/>
    <w:rsid w:val="0098445C"/>
    <w:rsid w:val="009A18CD"/>
    <w:rsid w:val="009B7DBA"/>
    <w:rsid w:val="009C494C"/>
    <w:rsid w:val="009C7525"/>
    <w:rsid w:val="00A12558"/>
    <w:rsid w:val="00A13903"/>
    <w:rsid w:val="00A339BE"/>
    <w:rsid w:val="00A34ED5"/>
    <w:rsid w:val="00A45DBF"/>
    <w:rsid w:val="00A563D6"/>
    <w:rsid w:val="00A755A2"/>
    <w:rsid w:val="00A7603A"/>
    <w:rsid w:val="00A81852"/>
    <w:rsid w:val="00AA6660"/>
    <w:rsid w:val="00AB2C36"/>
    <w:rsid w:val="00AB70B6"/>
    <w:rsid w:val="00AD1A86"/>
    <w:rsid w:val="00AE103E"/>
    <w:rsid w:val="00AF0A07"/>
    <w:rsid w:val="00AF4AEC"/>
    <w:rsid w:val="00AF625E"/>
    <w:rsid w:val="00B53091"/>
    <w:rsid w:val="00B74464"/>
    <w:rsid w:val="00B904E9"/>
    <w:rsid w:val="00BB04AF"/>
    <w:rsid w:val="00BD52C9"/>
    <w:rsid w:val="00BE57A5"/>
    <w:rsid w:val="00BE6354"/>
    <w:rsid w:val="00C21573"/>
    <w:rsid w:val="00C23A97"/>
    <w:rsid w:val="00C4212E"/>
    <w:rsid w:val="00C461AE"/>
    <w:rsid w:val="00C70EA7"/>
    <w:rsid w:val="00C7516E"/>
    <w:rsid w:val="00C75770"/>
    <w:rsid w:val="00CC7E93"/>
    <w:rsid w:val="00CD5029"/>
    <w:rsid w:val="00D00B2B"/>
    <w:rsid w:val="00D24877"/>
    <w:rsid w:val="00D95C4C"/>
    <w:rsid w:val="00DA31F1"/>
    <w:rsid w:val="00DA36ED"/>
    <w:rsid w:val="00DB009B"/>
    <w:rsid w:val="00DE34F1"/>
    <w:rsid w:val="00DF4942"/>
    <w:rsid w:val="00E238A1"/>
    <w:rsid w:val="00E313E1"/>
    <w:rsid w:val="00E627B1"/>
    <w:rsid w:val="00E90A85"/>
    <w:rsid w:val="00E9376C"/>
    <w:rsid w:val="00EA335E"/>
    <w:rsid w:val="00EA528C"/>
    <w:rsid w:val="00EF34E2"/>
    <w:rsid w:val="00F26618"/>
    <w:rsid w:val="00F52DF2"/>
    <w:rsid w:val="00F53DE9"/>
    <w:rsid w:val="00F576CB"/>
    <w:rsid w:val="00F71A02"/>
    <w:rsid w:val="00FD1226"/>
    <w:rsid w:val="00FD39C7"/>
    <w:rsid w:val="00FD662D"/>
    <w:rsid w:val="00FF48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B10473A"/>
  <w15:docId w15:val="{1AD713B2-CACE-486F-97A8-AF7EBCA7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eastAsia="fr-FR"/>
    </w:rPr>
  </w:style>
  <w:style w:type="paragraph" w:customStyle="1" w:styleId="GAPara">
    <w:name w:val="GA Para"/>
    <w:qFormat/>
    <w:rsid w:val="00345CB4"/>
    <w:pPr>
      <w:numPr>
        <w:numId w:val="9"/>
      </w:numPr>
      <w:spacing w:after="120"/>
      <w:ind w:left="567" w:hanging="567"/>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character" w:styleId="CommentReference">
    <w:name w:val="annotation reference"/>
    <w:basedOn w:val="DefaultParagraphFont"/>
    <w:uiPriority w:val="99"/>
    <w:semiHidden/>
    <w:unhideWhenUsed/>
    <w:rsid w:val="00FD39C7"/>
    <w:rPr>
      <w:sz w:val="16"/>
      <w:szCs w:val="16"/>
    </w:rPr>
  </w:style>
  <w:style w:type="paragraph" w:styleId="CommentText">
    <w:name w:val="annotation text"/>
    <w:basedOn w:val="Normal"/>
    <w:link w:val="CommentTextChar"/>
    <w:uiPriority w:val="99"/>
    <w:semiHidden/>
    <w:unhideWhenUsed/>
    <w:rsid w:val="00FD39C7"/>
    <w:rPr>
      <w:sz w:val="20"/>
      <w:szCs w:val="20"/>
    </w:rPr>
  </w:style>
  <w:style w:type="character" w:customStyle="1" w:styleId="CommentTextChar">
    <w:name w:val="Comment Text Char"/>
    <w:basedOn w:val="DefaultParagraphFont"/>
    <w:link w:val="CommentText"/>
    <w:uiPriority w:val="99"/>
    <w:semiHidden/>
    <w:rsid w:val="00FD39C7"/>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FD39C7"/>
    <w:rPr>
      <w:b/>
      <w:bCs/>
    </w:rPr>
  </w:style>
  <w:style w:type="character" w:customStyle="1" w:styleId="CommentSubjectChar">
    <w:name w:val="Comment Subject Char"/>
    <w:basedOn w:val="CommentTextChar"/>
    <w:link w:val="CommentSubject"/>
    <w:uiPriority w:val="99"/>
    <w:semiHidden/>
    <w:rsid w:val="00FD39C7"/>
    <w:rPr>
      <w:rFonts w:ascii="Times New Roman" w:eastAsia="Times New Roman" w:hAnsi="Times New Roman"/>
      <w:b/>
      <w:bCs/>
      <w:lang w:val="fr-FR" w:eastAsia="fr-FR"/>
    </w:rPr>
  </w:style>
  <w:style w:type="paragraph" w:styleId="Revision">
    <w:name w:val="Revision"/>
    <w:hidden/>
    <w:uiPriority w:val="99"/>
    <w:semiHidden/>
    <w:rsid w:val="00FD39C7"/>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F64D-6730-40B2-A08C-D01D2EF2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4</TotalTime>
  <Pages>3</Pages>
  <Words>817</Words>
  <Characters>4660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5</cp:revision>
  <cp:lastPrinted>2016-03-02T11:33:00Z</cp:lastPrinted>
  <dcterms:created xsi:type="dcterms:W3CDTF">2018-04-10T08:25:00Z</dcterms:created>
  <dcterms:modified xsi:type="dcterms:W3CDTF">2018-05-04T15:51:00Z</dcterms:modified>
</cp:coreProperties>
</file>