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915DD" w14:textId="77777777" w:rsidR="00EC6F8D" w:rsidRPr="00293C60" w:rsidRDefault="00EC6F8D" w:rsidP="00EC6F8D">
      <w:pPr>
        <w:spacing w:before="1440"/>
        <w:jc w:val="center"/>
        <w:rPr>
          <w:rFonts w:ascii="Arial" w:hAnsi="Arial" w:cs="Arial"/>
          <w:b/>
          <w:sz w:val="22"/>
          <w:szCs w:val="22"/>
          <w:lang w:val="en-GB"/>
        </w:rPr>
      </w:pPr>
      <w:r w:rsidRPr="00293C60">
        <w:rPr>
          <w:rFonts w:ascii="Arial" w:hAnsi="Arial" w:cs="Arial"/>
          <w:b/>
          <w:sz w:val="22"/>
          <w:szCs w:val="22"/>
          <w:lang w:val="en-GB"/>
        </w:rPr>
        <w:t xml:space="preserve">CONVENTION FOR THE SAFEGUARDING OF THE </w:t>
      </w:r>
      <w:r w:rsidRPr="00293C60">
        <w:rPr>
          <w:rFonts w:ascii="Arial" w:hAnsi="Arial" w:cs="Arial"/>
          <w:b/>
          <w:sz w:val="22"/>
          <w:szCs w:val="22"/>
          <w:lang w:val="en-GB"/>
        </w:rPr>
        <w:br/>
        <w:t>INTANGIBLE CULTURAL HERITAGE</w:t>
      </w:r>
    </w:p>
    <w:p w14:paraId="2CB8B4ED" w14:textId="77777777" w:rsidR="00EC6F8D" w:rsidRPr="00293C60" w:rsidRDefault="00EC6F8D" w:rsidP="00EC6F8D">
      <w:pPr>
        <w:spacing w:before="1200"/>
        <w:jc w:val="center"/>
        <w:rPr>
          <w:rFonts w:ascii="Arial" w:hAnsi="Arial" w:cs="Arial"/>
          <w:b/>
          <w:sz w:val="22"/>
          <w:szCs w:val="22"/>
          <w:lang w:val="en-GB"/>
        </w:rPr>
      </w:pPr>
      <w:r w:rsidRPr="00293C60">
        <w:rPr>
          <w:rFonts w:ascii="Arial" w:hAnsi="Arial" w:cs="Arial"/>
          <w:b/>
          <w:sz w:val="22"/>
          <w:szCs w:val="22"/>
          <w:lang w:val="en-GB"/>
        </w:rPr>
        <w:t xml:space="preserve">INTERGOVERNMENTAL COMMITTEE </w:t>
      </w:r>
      <w:bookmarkStart w:id="0" w:name="_GoBack"/>
      <w:bookmarkEnd w:id="0"/>
      <w:r w:rsidRPr="00293C60">
        <w:rPr>
          <w:rFonts w:ascii="Arial" w:hAnsi="Arial" w:cs="Arial"/>
          <w:b/>
          <w:sz w:val="22"/>
          <w:szCs w:val="22"/>
          <w:lang w:val="en-GB"/>
        </w:rPr>
        <w:t>FOR THE</w:t>
      </w:r>
      <w:r w:rsidRPr="00293C60">
        <w:rPr>
          <w:rFonts w:ascii="Arial" w:hAnsi="Arial" w:cs="Arial"/>
          <w:b/>
          <w:sz w:val="22"/>
          <w:szCs w:val="22"/>
          <w:lang w:val="en-GB"/>
        </w:rPr>
        <w:br/>
        <w:t>SAFEGUARDING OF THE INTANGIBLE CULTURAL HERITAGE</w:t>
      </w:r>
    </w:p>
    <w:p w14:paraId="4501A278" w14:textId="77777777" w:rsidR="00EC6F8D" w:rsidRPr="00293C60" w:rsidRDefault="00C7433F" w:rsidP="001D14FE">
      <w:pPr>
        <w:spacing w:before="840"/>
        <w:jc w:val="center"/>
        <w:rPr>
          <w:rFonts w:ascii="Arial" w:hAnsi="Arial" w:cs="Arial"/>
          <w:b/>
          <w:sz w:val="22"/>
          <w:szCs w:val="22"/>
          <w:lang w:val="en-GB"/>
        </w:rPr>
      </w:pPr>
      <w:r>
        <w:rPr>
          <w:rFonts w:ascii="Arial" w:eastAsiaTheme="minorEastAsia" w:hAnsi="Arial" w:cs="Arial" w:hint="eastAsia"/>
          <w:b/>
          <w:sz w:val="22"/>
          <w:szCs w:val="22"/>
          <w:lang w:val="en-GB" w:eastAsia="ko-KR"/>
        </w:rPr>
        <w:t>T</w:t>
      </w:r>
      <w:r w:rsidR="001D14FE">
        <w:rPr>
          <w:rFonts w:ascii="Arial" w:eastAsiaTheme="minorEastAsia" w:hAnsi="Arial" w:cs="Arial"/>
          <w:b/>
          <w:sz w:val="22"/>
          <w:szCs w:val="22"/>
          <w:lang w:val="en-GB" w:eastAsia="ko-KR"/>
        </w:rPr>
        <w:t>hirteen</w:t>
      </w:r>
      <w:r w:rsidR="00CB0542">
        <w:rPr>
          <w:rFonts w:ascii="Arial" w:hAnsi="Arial" w:cs="Arial"/>
          <w:b/>
          <w:sz w:val="22"/>
          <w:szCs w:val="22"/>
          <w:lang w:val="en-GB"/>
        </w:rPr>
        <w:t>th</w:t>
      </w:r>
      <w:r w:rsidR="00EC6F8D">
        <w:rPr>
          <w:rFonts w:ascii="Arial" w:hAnsi="Arial" w:cs="Arial"/>
          <w:b/>
          <w:sz w:val="22"/>
          <w:szCs w:val="22"/>
          <w:lang w:val="en-GB"/>
        </w:rPr>
        <w:t xml:space="preserve"> </w:t>
      </w:r>
      <w:r w:rsidR="00EC6F8D" w:rsidRPr="00293C60">
        <w:rPr>
          <w:rFonts w:ascii="Arial" w:hAnsi="Arial" w:cs="Arial"/>
          <w:b/>
          <w:sz w:val="22"/>
          <w:szCs w:val="22"/>
          <w:lang w:val="en-GB"/>
        </w:rPr>
        <w:t>session</w:t>
      </w:r>
    </w:p>
    <w:p w14:paraId="6AC29C2D" w14:textId="77777777" w:rsidR="009D5428" w:rsidRPr="00337CEB" w:rsidRDefault="001D14FE" w:rsidP="001D14FE">
      <w:pPr>
        <w:jc w:val="center"/>
        <w:rPr>
          <w:rFonts w:ascii="Arial" w:eastAsiaTheme="minorEastAsia" w:hAnsi="Arial" w:cs="Arial"/>
          <w:b/>
          <w:sz w:val="22"/>
          <w:szCs w:val="22"/>
          <w:lang w:val="en-GB" w:eastAsia="ko-KR"/>
        </w:rPr>
      </w:pPr>
      <w:r>
        <w:rPr>
          <w:rFonts w:ascii="Arial" w:eastAsiaTheme="minorEastAsia" w:hAnsi="Arial" w:cs="Arial"/>
          <w:b/>
          <w:sz w:val="22"/>
          <w:szCs w:val="22"/>
          <w:lang w:val="en-GB" w:eastAsia="ko-KR"/>
        </w:rPr>
        <w:t>Port Louis</w:t>
      </w:r>
      <w:r w:rsidR="00CB0542">
        <w:rPr>
          <w:rFonts w:ascii="Arial" w:hAnsi="Arial" w:cs="Arial"/>
          <w:b/>
          <w:sz w:val="22"/>
          <w:szCs w:val="22"/>
          <w:lang w:val="en-GB"/>
        </w:rPr>
        <w:t xml:space="preserve">, </w:t>
      </w:r>
      <w:r w:rsidR="00337CEB">
        <w:rPr>
          <w:rFonts w:ascii="Arial" w:eastAsiaTheme="minorEastAsia" w:hAnsi="Arial" w:cs="Arial" w:hint="eastAsia"/>
          <w:b/>
          <w:sz w:val="22"/>
          <w:szCs w:val="22"/>
          <w:lang w:val="en-GB" w:eastAsia="ko-KR"/>
        </w:rPr>
        <w:t xml:space="preserve">Republic of </w:t>
      </w:r>
      <w:r>
        <w:rPr>
          <w:rFonts w:ascii="Arial" w:eastAsiaTheme="minorEastAsia" w:hAnsi="Arial" w:cs="Arial"/>
          <w:b/>
          <w:sz w:val="22"/>
          <w:szCs w:val="22"/>
          <w:lang w:val="en-GB" w:eastAsia="ko-KR"/>
        </w:rPr>
        <w:t>Mauritius</w:t>
      </w:r>
    </w:p>
    <w:p w14:paraId="46EE483C" w14:textId="77777777" w:rsidR="00EC6F8D" w:rsidRPr="00337CEB" w:rsidRDefault="001D14FE" w:rsidP="001D14FE">
      <w:pPr>
        <w:jc w:val="center"/>
        <w:rPr>
          <w:rFonts w:ascii="Arial" w:eastAsiaTheme="minorEastAsia" w:hAnsi="Arial" w:cs="Arial"/>
          <w:b/>
          <w:sz w:val="22"/>
          <w:szCs w:val="22"/>
          <w:lang w:val="en-GB" w:eastAsia="ko-KR"/>
        </w:rPr>
      </w:pPr>
      <w:r>
        <w:rPr>
          <w:rFonts w:ascii="Arial" w:eastAsiaTheme="minorEastAsia" w:hAnsi="Arial" w:cs="Arial"/>
          <w:b/>
          <w:sz w:val="22"/>
          <w:szCs w:val="22"/>
          <w:lang w:val="en-GB" w:eastAsia="ko-KR"/>
        </w:rPr>
        <w:t xml:space="preserve">26 November </w:t>
      </w:r>
      <w:r w:rsidR="00EC6F8D" w:rsidRPr="00EC6F8D">
        <w:rPr>
          <w:rFonts w:ascii="Arial" w:hAnsi="Arial" w:cs="Arial"/>
          <w:b/>
          <w:sz w:val="22"/>
          <w:szCs w:val="22"/>
          <w:lang w:val="en-GB"/>
        </w:rPr>
        <w:t xml:space="preserve">to </w:t>
      </w:r>
      <w:r>
        <w:rPr>
          <w:rFonts w:ascii="Arial" w:hAnsi="Arial" w:cs="Arial"/>
          <w:b/>
          <w:sz w:val="22"/>
          <w:szCs w:val="22"/>
          <w:lang w:val="en-GB"/>
        </w:rPr>
        <w:t>1</w:t>
      </w:r>
      <w:r w:rsidR="00337CEB">
        <w:rPr>
          <w:rFonts w:ascii="Arial" w:hAnsi="Arial" w:cs="Arial"/>
          <w:b/>
          <w:sz w:val="22"/>
          <w:szCs w:val="22"/>
          <w:lang w:val="en-GB"/>
        </w:rPr>
        <w:t xml:space="preserve"> December 201</w:t>
      </w:r>
      <w:r>
        <w:rPr>
          <w:rFonts w:ascii="Arial" w:eastAsiaTheme="minorEastAsia" w:hAnsi="Arial" w:cs="Arial"/>
          <w:b/>
          <w:sz w:val="22"/>
          <w:szCs w:val="22"/>
          <w:lang w:val="en-GB" w:eastAsia="ko-KR"/>
        </w:rPr>
        <w:t>8</w:t>
      </w:r>
    </w:p>
    <w:p w14:paraId="3E55F020" w14:textId="77777777" w:rsidR="00EC6F8D" w:rsidRPr="00293C60" w:rsidRDefault="00EC6F8D" w:rsidP="00EC6F8D">
      <w:pPr>
        <w:pStyle w:val="Sansinterligne2"/>
        <w:spacing w:before="1200"/>
        <w:jc w:val="center"/>
        <w:rPr>
          <w:rFonts w:ascii="Arial" w:hAnsi="Arial" w:cs="Arial"/>
          <w:b/>
          <w:sz w:val="22"/>
          <w:szCs w:val="22"/>
          <w:lang w:val="en-GB"/>
        </w:rPr>
      </w:pPr>
      <w:r w:rsidRPr="00293C60">
        <w:rPr>
          <w:rFonts w:ascii="Arial" w:hAnsi="Arial" w:cs="Arial"/>
          <w:b/>
          <w:sz w:val="22"/>
          <w:szCs w:val="22"/>
          <w:u w:val="single"/>
          <w:lang w:val="en-GB"/>
        </w:rPr>
        <w:t xml:space="preserve">Item </w:t>
      </w:r>
      <w:r w:rsidR="005A49DA" w:rsidRPr="008561AD">
        <w:rPr>
          <w:rFonts w:ascii="Arial" w:hAnsi="Arial" w:cs="Arial"/>
          <w:b/>
          <w:sz w:val="22"/>
          <w:szCs w:val="22"/>
          <w:u w:val="single"/>
          <w:lang w:val="en-GB"/>
        </w:rPr>
        <w:t>8</w:t>
      </w:r>
      <w:r w:rsidR="000B4695" w:rsidRPr="009A6AD1">
        <w:rPr>
          <w:rFonts w:ascii="Arial" w:hAnsi="Arial" w:cs="Arial"/>
          <w:b/>
          <w:sz w:val="22"/>
          <w:szCs w:val="22"/>
          <w:u w:val="single"/>
          <w:lang w:val="en-GB"/>
        </w:rPr>
        <w:t xml:space="preserve"> </w:t>
      </w:r>
      <w:r w:rsidRPr="009A6AD1">
        <w:rPr>
          <w:rFonts w:ascii="Arial" w:hAnsi="Arial" w:cs="Arial"/>
          <w:b/>
          <w:sz w:val="22"/>
          <w:szCs w:val="22"/>
          <w:u w:val="single"/>
          <w:lang w:val="en-GB"/>
        </w:rPr>
        <w:t>of</w:t>
      </w:r>
      <w:r w:rsidRPr="00293C60">
        <w:rPr>
          <w:rFonts w:ascii="Arial" w:hAnsi="Arial" w:cs="Arial"/>
          <w:b/>
          <w:sz w:val="22"/>
          <w:szCs w:val="22"/>
          <w:u w:val="single"/>
          <w:lang w:val="en-GB"/>
        </w:rPr>
        <w:t xml:space="preserve"> the Provisional Agenda</w:t>
      </w:r>
      <w:r w:rsidRPr="00293C60">
        <w:rPr>
          <w:rFonts w:ascii="Arial" w:hAnsi="Arial" w:cs="Arial"/>
          <w:b/>
          <w:sz w:val="22"/>
          <w:szCs w:val="22"/>
          <w:lang w:val="en-GB"/>
        </w:rPr>
        <w:t>:</w:t>
      </w:r>
    </w:p>
    <w:p w14:paraId="01E9DCA9" w14:textId="77777777" w:rsidR="00EC6F8D" w:rsidRPr="005A49DA" w:rsidRDefault="005A49DA" w:rsidP="00EC6F8D">
      <w:pPr>
        <w:pStyle w:val="Sansinterligne2"/>
        <w:spacing w:after="1200"/>
        <w:jc w:val="center"/>
        <w:rPr>
          <w:rFonts w:ascii="Arial" w:hAnsi="Arial" w:cs="Arial"/>
          <w:b/>
          <w:sz w:val="22"/>
          <w:szCs w:val="22"/>
          <w:lang w:val="en-US"/>
        </w:rPr>
      </w:pPr>
      <w:r w:rsidRPr="005A49DA">
        <w:rPr>
          <w:rFonts w:ascii="Arial" w:hAnsi="Arial" w:cs="Arial"/>
          <w:b/>
          <w:sz w:val="22"/>
          <w:szCs w:val="22"/>
          <w:lang w:val="en-GB"/>
        </w:rPr>
        <w:t>Reform of the periodic reporting mechanism</w:t>
      </w:r>
    </w:p>
    <w:tbl>
      <w:tblPr>
        <w:tblpPr w:leftFromText="180" w:rightFromText="180" w:vertAnchor="text" w:tblpXSpec="center" w:tblpY="1"/>
        <w:tblOverlap w:val="never"/>
        <w:tblW w:w="6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09"/>
      </w:tblGrid>
      <w:tr w:rsidR="00EC6F8D" w:rsidRPr="00915736" w14:paraId="5741558F" w14:textId="77777777" w:rsidTr="00C37886">
        <w:tc>
          <w:tcPr>
            <w:tcW w:w="6009" w:type="dxa"/>
            <w:vAlign w:val="center"/>
          </w:tcPr>
          <w:p w14:paraId="03C2FB7E" w14:textId="77777777" w:rsidR="00EC6F8D" w:rsidRPr="00293C60" w:rsidRDefault="00EC6F8D" w:rsidP="00C37886">
            <w:pPr>
              <w:pStyle w:val="Sansinterligne1"/>
              <w:spacing w:before="200" w:after="200"/>
              <w:jc w:val="center"/>
              <w:rPr>
                <w:rFonts w:ascii="Arial" w:hAnsi="Arial" w:cs="Arial"/>
                <w:b/>
                <w:sz w:val="22"/>
                <w:szCs w:val="22"/>
                <w:lang w:val="en-GB"/>
              </w:rPr>
            </w:pPr>
            <w:r w:rsidRPr="00293C60">
              <w:rPr>
                <w:rFonts w:ascii="Arial" w:hAnsi="Arial" w:cs="Arial"/>
                <w:b/>
                <w:sz w:val="22"/>
                <w:szCs w:val="22"/>
                <w:lang w:val="en-GB"/>
              </w:rPr>
              <w:t>Summary</w:t>
            </w:r>
          </w:p>
          <w:p w14:paraId="38203C74" w14:textId="222317FA" w:rsidR="00107FB8" w:rsidRPr="00C37886" w:rsidRDefault="00107FB8" w:rsidP="00C37886">
            <w:pPr>
              <w:pStyle w:val="Sansinterligne1"/>
              <w:jc w:val="both"/>
              <w:rPr>
                <w:rFonts w:ascii="Arial" w:hAnsi="Arial" w:cs="Arial"/>
                <w:sz w:val="22"/>
                <w:szCs w:val="20"/>
                <w:lang w:val="en-GB"/>
              </w:rPr>
            </w:pPr>
            <w:r w:rsidRPr="00C748F5">
              <w:rPr>
                <w:rFonts w:ascii="Arial" w:hAnsi="Arial" w:cs="Arial"/>
                <w:sz w:val="22"/>
                <w:szCs w:val="22"/>
                <w:lang w:val="en-GB"/>
              </w:rPr>
              <w:t xml:space="preserve">The </w:t>
            </w:r>
            <w:r w:rsidR="00B85CD1">
              <w:rPr>
                <w:rFonts w:ascii="Arial" w:hAnsi="Arial" w:cs="Arial"/>
                <w:sz w:val="22"/>
                <w:szCs w:val="22"/>
                <w:lang w:val="en-GB"/>
              </w:rPr>
              <w:t>p</w:t>
            </w:r>
            <w:r w:rsidRPr="00517A25">
              <w:rPr>
                <w:rFonts w:ascii="Arial" w:hAnsi="Arial" w:cs="Arial"/>
                <w:sz w:val="22"/>
                <w:szCs w:val="22"/>
                <w:lang w:val="en-GB"/>
              </w:rPr>
              <w:t xml:space="preserve">eriodic </w:t>
            </w:r>
            <w:r w:rsidR="00B85CD1">
              <w:rPr>
                <w:rFonts w:ascii="Arial" w:hAnsi="Arial" w:cs="Arial"/>
                <w:sz w:val="22"/>
                <w:szCs w:val="22"/>
                <w:lang w:val="en-GB"/>
              </w:rPr>
              <w:t>r</w:t>
            </w:r>
            <w:r w:rsidRPr="00517A25">
              <w:rPr>
                <w:rFonts w:ascii="Arial" w:hAnsi="Arial" w:cs="Arial"/>
                <w:sz w:val="22"/>
                <w:szCs w:val="22"/>
                <w:lang w:val="en-GB"/>
              </w:rPr>
              <w:t xml:space="preserve">eporting mechanism is currently undergoing a reform to enhance its quality, usefulness and timeliness by aligning </w:t>
            </w:r>
            <w:r w:rsidR="006C255C">
              <w:rPr>
                <w:rFonts w:ascii="Arial" w:hAnsi="Arial" w:cs="Arial"/>
                <w:sz w:val="22"/>
                <w:szCs w:val="22"/>
                <w:lang w:val="en-GB"/>
              </w:rPr>
              <w:t xml:space="preserve">the </w:t>
            </w:r>
            <w:r w:rsidR="006112CC">
              <w:rPr>
                <w:rFonts w:ascii="Arial" w:hAnsi="Arial" w:cs="Arial"/>
                <w:sz w:val="22"/>
                <w:szCs w:val="22"/>
                <w:lang w:val="en-GB"/>
              </w:rPr>
              <w:t>said</w:t>
            </w:r>
            <w:r w:rsidRPr="00C748F5">
              <w:rPr>
                <w:rFonts w:ascii="Arial" w:hAnsi="Arial" w:cs="Arial"/>
                <w:sz w:val="22"/>
                <w:szCs w:val="22"/>
                <w:lang w:val="en-GB"/>
              </w:rPr>
              <w:t xml:space="preserve"> mechanism to the overall results framework approved at the seventh session of the General Assembly. The amendment</w:t>
            </w:r>
            <w:r>
              <w:rPr>
                <w:rFonts w:ascii="Arial" w:hAnsi="Arial" w:cs="Arial"/>
                <w:sz w:val="22"/>
                <w:szCs w:val="22"/>
                <w:lang w:val="en-GB"/>
              </w:rPr>
              <w:t>s</w:t>
            </w:r>
            <w:r w:rsidRPr="00C748F5">
              <w:rPr>
                <w:rFonts w:ascii="Arial" w:hAnsi="Arial" w:cs="Arial"/>
                <w:sz w:val="22"/>
                <w:szCs w:val="22"/>
                <w:lang w:val="en-GB"/>
              </w:rPr>
              <w:t xml:space="preserve"> to the Operational Directives made at that session also mean that States Parties will submit their report every six years on the basis of a </w:t>
            </w:r>
            <w:r w:rsidR="00B85CD1">
              <w:rPr>
                <w:rFonts w:ascii="Arial" w:hAnsi="Arial" w:cs="Arial"/>
                <w:sz w:val="22"/>
                <w:szCs w:val="22"/>
                <w:lang w:val="en-GB"/>
              </w:rPr>
              <w:t xml:space="preserve">system of </w:t>
            </w:r>
            <w:r w:rsidRPr="00C748F5">
              <w:rPr>
                <w:rFonts w:ascii="Arial" w:hAnsi="Arial" w:cs="Arial"/>
                <w:sz w:val="22"/>
                <w:szCs w:val="22"/>
                <w:lang w:val="en-GB"/>
              </w:rPr>
              <w:t xml:space="preserve">regional rotation (instead of every six years after their year of ratification). The present document </w:t>
            </w:r>
            <w:r w:rsidR="009E6093">
              <w:rPr>
                <w:rFonts w:ascii="Arial" w:hAnsi="Arial" w:cs="Arial"/>
                <w:sz w:val="22"/>
                <w:szCs w:val="22"/>
                <w:lang w:val="en-GB"/>
              </w:rPr>
              <w:t xml:space="preserve">provides an update on </w:t>
            </w:r>
            <w:r w:rsidR="009E6093" w:rsidRPr="00C748F5">
              <w:rPr>
                <w:rFonts w:ascii="Arial" w:hAnsi="Arial" w:cs="Arial"/>
                <w:sz w:val="22"/>
                <w:szCs w:val="22"/>
                <w:lang w:val="en-US"/>
              </w:rPr>
              <w:t>the reform of the periodic reporting mechanism</w:t>
            </w:r>
            <w:r w:rsidR="009E6093">
              <w:rPr>
                <w:rFonts w:ascii="Arial" w:hAnsi="Arial" w:cs="Arial"/>
                <w:sz w:val="22"/>
                <w:szCs w:val="22"/>
                <w:lang w:val="en-US"/>
              </w:rPr>
              <w:t>, in particular on</w:t>
            </w:r>
            <w:r w:rsidR="009E6093" w:rsidRPr="009E6093" w:rsidDel="009E6093">
              <w:rPr>
                <w:rFonts w:ascii="Arial" w:hAnsi="Arial" w:cs="Arial"/>
                <w:sz w:val="22"/>
                <w:szCs w:val="22"/>
                <w:lang w:val="en-GB"/>
              </w:rPr>
              <w:t xml:space="preserve"> </w:t>
            </w:r>
            <w:r w:rsidRPr="00C748F5">
              <w:rPr>
                <w:rFonts w:ascii="Arial" w:hAnsi="Arial" w:cs="Arial"/>
                <w:sz w:val="22"/>
                <w:szCs w:val="22"/>
                <w:lang w:val="en-GB"/>
              </w:rPr>
              <w:t xml:space="preserve">the transition period that </w:t>
            </w:r>
            <w:r w:rsidR="009E6093">
              <w:rPr>
                <w:rFonts w:ascii="Arial" w:hAnsi="Arial" w:cs="Arial"/>
                <w:sz w:val="22"/>
                <w:szCs w:val="22"/>
                <w:lang w:val="en-GB"/>
              </w:rPr>
              <w:t xml:space="preserve">has just started and </w:t>
            </w:r>
            <w:r w:rsidRPr="00C748F5">
              <w:rPr>
                <w:rFonts w:ascii="Arial" w:hAnsi="Arial" w:cs="Arial"/>
                <w:sz w:val="22"/>
                <w:szCs w:val="22"/>
                <w:lang w:val="en-GB"/>
              </w:rPr>
              <w:t xml:space="preserve">will last until 2020, followed by a proposal on </w:t>
            </w:r>
            <w:r>
              <w:rPr>
                <w:rFonts w:ascii="Arial" w:hAnsi="Arial" w:cs="Arial"/>
                <w:sz w:val="22"/>
                <w:szCs w:val="22"/>
                <w:lang w:val="en-GB"/>
              </w:rPr>
              <w:t>how to</w:t>
            </w:r>
            <w:r w:rsidRPr="00C748F5">
              <w:rPr>
                <w:rFonts w:ascii="Arial" w:hAnsi="Arial" w:cs="Arial"/>
                <w:sz w:val="22"/>
                <w:szCs w:val="22"/>
                <w:lang w:val="en-GB"/>
              </w:rPr>
              <w:t xml:space="preserve"> establish the calendar for the first regional cycle of reporting.</w:t>
            </w:r>
          </w:p>
          <w:p w14:paraId="50368962" w14:textId="09EFF38A" w:rsidR="00EC6F8D" w:rsidRPr="00293C60" w:rsidRDefault="00EC6F8D" w:rsidP="00C37886">
            <w:pPr>
              <w:pStyle w:val="Sansinterligne2"/>
              <w:spacing w:before="200" w:after="200"/>
              <w:jc w:val="both"/>
              <w:rPr>
                <w:rFonts w:ascii="Arial" w:hAnsi="Arial" w:cs="Arial"/>
                <w:b/>
                <w:sz w:val="22"/>
                <w:szCs w:val="22"/>
                <w:lang w:val="en-GB"/>
              </w:rPr>
            </w:pPr>
            <w:r w:rsidRPr="00293C60">
              <w:rPr>
                <w:rFonts w:ascii="Arial" w:hAnsi="Arial" w:cs="Arial"/>
                <w:b/>
                <w:sz w:val="22"/>
                <w:szCs w:val="22"/>
                <w:lang w:val="en-GB"/>
              </w:rPr>
              <w:t xml:space="preserve">Decision required: </w:t>
            </w:r>
            <w:r w:rsidRPr="00215F45">
              <w:rPr>
                <w:rFonts w:ascii="Arial" w:hAnsi="Arial" w:cs="Arial"/>
                <w:bCs/>
                <w:sz w:val="22"/>
                <w:szCs w:val="22"/>
                <w:lang w:val="en-GB"/>
              </w:rPr>
              <w:t xml:space="preserve">paragraph </w:t>
            </w:r>
            <w:r w:rsidR="004D4D3A" w:rsidRPr="00215F45">
              <w:rPr>
                <w:rFonts w:ascii="Arial" w:hAnsi="Arial" w:cs="Arial"/>
                <w:bCs/>
                <w:sz w:val="22"/>
                <w:szCs w:val="22"/>
                <w:lang w:val="en-GB"/>
              </w:rPr>
              <w:t>1</w:t>
            </w:r>
            <w:r w:rsidR="00E3104E" w:rsidRPr="00215F45">
              <w:rPr>
                <w:rFonts w:ascii="Arial" w:hAnsi="Arial" w:cs="Arial"/>
                <w:bCs/>
                <w:sz w:val="22"/>
                <w:szCs w:val="22"/>
                <w:lang w:val="en-GB"/>
              </w:rPr>
              <w:t>4</w:t>
            </w:r>
          </w:p>
        </w:tc>
      </w:tr>
    </w:tbl>
    <w:p w14:paraId="007C2A71" w14:textId="77777777" w:rsidR="008F629F" w:rsidRDefault="00655736" w:rsidP="006B01C8">
      <w:pPr>
        <w:pStyle w:val="COMPara"/>
        <w:numPr>
          <w:ilvl w:val="0"/>
          <w:numId w:val="13"/>
        </w:numPr>
        <w:ind w:left="567" w:hanging="567"/>
        <w:jc w:val="both"/>
      </w:pPr>
      <w:r w:rsidRPr="00414643">
        <w:br w:type="page"/>
      </w:r>
    </w:p>
    <w:p w14:paraId="3674DC36" w14:textId="77777777" w:rsidR="008F629F" w:rsidRPr="008561AD" w:rsidRDefault="00BE01DA" w:rsidP="008561AD">
      <w:pPr>
        <w:pStyle w:val="COMPara"/>
        <w:numPr>
          <w:ilvl w:val="0"/>
          <w:numId w:val="0"/>
        </w:numPr>
        <w:jc w:val="both"/>
        <w:rPr>
          <w:b/>
        </w:rPr>
      </w:pPr>
      <w:r>
        <w:rPr>
          <w:b/>
        </w:rPr>
        <w:lastRenderedPageBreak/>
        <w:t xml:space="preserve">Updates on the </w:t>
      </w:r>
      <w:r w:rsidR="008F629F" w:rsidRPr="008561AD">
        <w:rPr>
          <w:b/>
        </w:rPr>
        <w:t>reform of the periodic reporting mechanism</w:t>
      </w:r>
    </w:p>
    <w:p w14:paraId="3C30CF12" w14:textId="0C1AAD8E" w:rsidR="00994B9A" w:rsidRDefault="00B85CD1" w:rsidP="0005223A">
      <w:pPr>
        <w:pStyle w:val="COMPara"/>
        <w:numPr>
          <w:ilvl w:val="0"/>
          <w:numId w:val="33"/>
        </w:numPr>
        <w:ind w:left="567" w:hanging="567"/>
        <w:jc w:val="both"/>
      </w:pPr>
      <w:r>
        <w:rPr>
          <w:lang w:val="en-US"/>
        </w:rPr>
        <w:t>P</w:t>
      </w:r>
      <w:r w:rsidR="00B55064" w:rsidRPr="008561AD">
        <w:rPr>
          <w:lang w:val="en-US"/>
        </w:rPr>
        <w:t xml:space="preserve">eriodic reporting </w:t>
      </w:r>
      <w:r>
        <w:rPr>
          <w:lang w:val="en-US"/>
        </w:rPr>
        <w:t>provides</w:t>
      </w:r>
      <w:r w:rsidR="00B55064" w:rsidRPr="008561AD">
        <w:rPr>
          <w:lang w:val="en-US"/>
        </w:rPr>
        <w:t xml:space="preserve"> State</w:t>
      </w:r>
      <w:r w:rsidR="009A6AD1" w:rsidRPr="008561AD">
        <w:rPr>
          <w:lang w:val="en-US"/>
        </w:rPr>
        <w:t>s</w:t>
      </w:r>
      <w:r w:rsidR="00B55064" w:rsidRPr="008561AD">
        <w:rPr>
          <w:lang w:val="en-US"/>
        </w:rPr>
        <w:t xml:space="preserve"> Parties </w:t>
      </w:r>
      <w:r>
        <w:rPr>
          <w:lang w:val="en-US"/>
        </w:rPr>
        <w:t>with</w:t>
      </w:r>
      <w:r w:rsidR="00B55064" w:rsidRPr="008561AD">
        <w:rPr>
          <w:lang w:val="en-US"/>
        </w:rPr>
        <w:t xml:space="preserve"> the opportunity to regularly take </w:t>
      </w:r>
      <w:r w:rsidR="009A6AD1" w:rsidRPr="008561AD">
        <w:rPr>
          <w:lang w:val="en-US"/>
        </w:rPr>
        <w:t xml:space="preserve">stock </w:t>
      </w:r>
      <w:r w:rsidR="00B55064" w:rsidRPr="008561AD">
        <w:rPr>
          <w:lang w:val="en-US"/>
        </w:rPr>
        <w:t>of the</w:t>
      </w:r>
      <w:r w:rsidR="009A6AD1" w:rsidRPr="008561AD">
        <w:rPr>
          <w:lang w:val="en-US"/>
        </w:rPr>
        <w:t xml:space="preserve"> progress</w:t>
      </w:r>
      <w:r w:rsidR="00B55064" w:rsidRPr="008561AD">
        <w:rPr>
          <w:lang w:val="en-US"/>
        </w:rPr>
        <w:t xml:space="preserve"> achieve</w:t>
      </w:r>
      <w:r w:rsidR="009A6AD1" w:rsidRPr="008561AD">
        <w:rPr>
          <w:lang w:val="en-US"/>
        </w:rPr>
        <w:t>d</w:t>
      </w:r>
      <w:r w:rsidR="00B55064" w:rsidRPr="008561AD">
        <w:rPr>
          <w:lang w:val="en-US"/>
        </w:rPr>
        <w:t xml:space="preserve"> and challenges encountered when implementing </w:t>
      </w:r>
      <w:r w:rsidR="009A6AD1" w:rsidRPr="008561AD">
        <w:rPr>
          <w:lang w:val="en-US"/>
        </w:rPr>
        <w:t xml:space="preserve">the 2003 Convention and, in general, </w:t>
      </w:r>
      <w:r w:rsidR="006112CC">
        <w:rPr>
          <w:lang w:val="en-US"/>
        </w:rPr>
        <w:t xml:space="preserve">with </w:t>
      </w:r>
      <w:r w:rsidR="00B55064" w:rsidRPr="008561AD">
        <w:rPr>
          <w:lang w:val="en-US"/>
        </w:rPr>
        <w:t xml:space="preserve">activities for the safeguarding of </w:t>
      </w:r>
      <w:r w:rsidR="009A6AD1" w:rsidRPr="008561AD">
        <w:rPr>
          <w:lang w:val="en-US"/>
        </w:rPr>
        <w:t xml:space="preserve">their </w:t>
      </w:r>
      <w:r w:rsidR="00B55064" w:rsidRPr="008561AD">
        <w:rPr>
          <w:lang w:val="en-US"/>
        </w:rPr>
        <w:t xml:space="preserve">intangible cultural heritage. It </w:t>
      </w:r>
      <w:r w:rsidRPr="008561AD">
        <w:rPr>
          <w:lang w:val="en-US"/>
        </w:rPr>
        <w:t xml:space="preserve">therefore </w:t>
      </w:r>
      <w:r w:rsidR="00B55064" w:rsidRPr="008561AD">
        <w:rPr>
          <w:lang w:val="en-US"/>
        </w:rPr>
        <w:t xml:space="preserve">serves as a tool </w:t>
      </w:r>
      <w:r w:rsidRPr="008561AD">
        <w:rPr>
          <w:lang w:val="en-US"/>
        </w:rPr>
        <w:t>t</w:t>
      </w:r>
      <w:r>
        <w:rPr>
          <w:lang w:val="en-US"/>
        </w:rPr>
        <w:t>o</w:t>
      </w:r>
      <w:r w:rsidRPr="008561AD">
        <w:rPr>
          <w:lang w:val="en-US"/>
        </w:rPr>
        <w:t xml:space="preserve"> </w:t>
      </w:r>
      <w:r w:rsidR="00B55064" w:rsidRPr="008561AD">
        <w:rPr>
          <w:lang w:val="en-US"/>
        </w:rPr>
        <w:t xml:space="preserve">monitor the operationalization of the Convention at the national level. </w:t>
      </w:r>
      <w:proofErr w:type="gramStart"/>
      <w:r w:rsidR="00173F64">
        <w:t xml:space="preserve">The open-ended intergovernmental working group </w:t>
      </w:r>
      <w:r w:rsidR="000C7603">
        <w:t>on</w:t>
      </w:r>
      <w:r w:rsidR="00173F64">
        <w:t xml:space="preserve"> the development of </w:t>
      </w:r>
      <w:r w:rsidR="009A6AD1">
        <w:t xml:space="preserve">an </w:t>
      </w:r>
      <w:r w:rsidR="00173F64">
        <w:t xml:space="preserve">overall results framework for the </w:t>
      </w:r>
      <w:r w:rsidR="009A6AD1">
        <w:t>2003 </w:t>
      </w:r>
      <w:r w:rsidR="00173F64">
        <w:t>Convention</w:t>
      </w:r>
      <w:r w:rsidR="005B5CE7">
        <w:t xml:space="preserve"> </w:t>
      </w:r>
      <w:r w:rsidR="000C7603">
        <w:t>(</w:t>
      </w:r>
      <w:r w:rsidR="00173F64">
        <w:t>Chengdu, China, from 11 to 13</w:t>
      </w:r>
      <w:r w:rsidR="0005223A">
        <w:t> June </w:t>
      </w:r>
      <w:r w:rsidR="00173F64">
        <w:t>2017</w:t>
      </w:r>
      <w:r w:rsidR="000C7603">
        <w:t>)</w:t>
      </w:r>
      <w:r w:rsidR="00173F64">
        <w:t xml:space="preserve"> </w:t>
      </w:r>
      <w:r w:rsidR="005C4BD8">
        <w:t xml:space="preserve">provided </w:t>
      </w:r>
      <w:r>
        <w:t xml:space="preserve">an </w:t>
      </w:r>
      <w:r w:rsidR="00173F64">
        <w:t>opportunity</w:t>
      </w:r>
      <w:r w:rsidR="007154E6">
        <w:t xml:space="preserve"> not only to </w:t>
      </w:r>
      <w:r>
        <w:t xml:space="preserve">develop </w:t>
      </w:r>
      <w:r w:rsidR="006112CC">
        <w:t xml:space="preserve">this </w:t>
      </w:r>
      <w:r w:rsidR="005B5CE7">
        <w:t>framework</w:t>
      </w:r>
      <w:r w:rsidR="005C4BD8">
        <w:t xml:space="preserve"> in detail</w:t>
      </w:r>
      <w:r w:rsidR="005B5CE7">
        <w:t>,</w:t>
      </w:r>
      <w:r w:rsidR="007154E6">
        <w:t xml:space="preserve"> but </w:t>
      </w:r>
      <w:r w:rsidR="009A6AD1">
        <w:t xml:space="preserve">also </w:t>
      </w:r>
      <w:r w:rsidR="00173F64" w:rsidRPr="002932E8">
        <w:t xml:space="preserve">to </w:t>
      </w:r>
      <w:r w:rsidR="005C4BD8" w:rsidRPr="002B7D2D">
        <w:t xml:space="preserve">debate how </w:t>
      </w:r>
      <w:r w:rsidR="005C4BD8">
        <w:t>its adoption would provide</w:t>
      </w:r>
      <w:r w:rsidR="005C4BD8" w:rsidRPr="002B7D2D">
        <w:t xml:space="preserve"> </w:t>
      </w:r>
      <w:r w:rsidR="000C7603">
        <w:t>a suitable</w:t>
      </w:r>
      <w:r w:rsidR="005C4BD8">
        <w:t xml:space="preserve"> </w:t>
      </w:r>
      <w:r w:rsidR="005C4BD8" w:rsidRPr="002B7D2D">
        <w:t xml:space="preserve">opportunity to reform the periodic reporting process </w:t>
      </w:r>
      <w:r w:rsidR="00173F64">
        <w:t>(document</w:t>
      </w:r>
      <w:r w:rsidR="000C7603">
        <w:t> </w:t>
      </w:r>
      <w:hyperlink r:id="rId8" w:history="1">
        <w:r w:rsidR="00173F64" w:rsidRPr="002932E8">
          <w:rPr>
            <w:rStyle w:val="Hyperlink"/>
          </w:rPr>
          <w:t>ITH/17/12.COM</w:t>
        </w:r>
        <w:r w:rsidR="0005223A">
          <w:rPr>
            <w:rStyle w:val="Hyperlink"/>
          </w:rPr>
          <w:t> </w:t>
        </w:r>
        <w:r w:rsidR="00173F64" w:rsidRPr="002932E8">
          <w:rPr>
            <w:rStyle w:val="Hyperlink"/>
          </w:rPr>
          <w:t>WG/5</w:t>
        </w:r>
      </w:hyperlink>
      <w:r w:rsidR="00173F64">
        <w:rPr>
          <w:rStyle w:val="atenuated"/>
        </w:rPr>
        <w:t>)</w:t>
      </w:r>
      <w:r w:rsidR="00173F64" w:rsidRPr="002932E8">
        <w:t>.</w:t>
      </w:r>
      <w:proofErr w:type="gramEnd"/>
      <w:r w:rsidR="00117E51">
        <w:t xml:space="preserve"> </w:t>
      </w:r>
      <w:r w:rsidR="000C7603">
        <w:t>Th</w:t>
      </w:r>
      <w:r>
        <w:t>e</w:t>
      </w:r>
      <w:r w:rsidR="000C7603">
        <w:t xml:space="preserve"> working group </w:t>
      </w:r>
      <w:r w:rsidR="005B5CE7">
        <w:t xml:space="preserve">highlighted the need to reform the periodic reporting </w:t>
      </w:r>
      <w:r w:rsidR="005C4BD8">
        <w:t xml:space="preserve">mechanism </w:t>
      </w:r>
      <w:r w:rsidR="005B5CE7">
        <w:t>to make it more useful for States Parties and for the Convention as a whole</w:t>
      </w:r>
      <w:r w:rsidR="005C4BD8">
        <w:t>,</w:t>
      </w:r>
      <w:r w:rsidR="005B5CE7">
        <w:t xml:space="preserve"> and made a recommendation in this sense to the Committee (</w:t>
      </w:r>
      <w:r w:rsidR="000C7603">
        <w:t>d</w:t>
      </w:r>
      <w:r w:rsidR="005B5CE7">
        <w:t>ocument </w:t>
      </w:r>
      <w:hyperlink r:id="rId9" w:history="1">
        <w:r w:rsidR="005B5CE7" w:rsidRPr="00516E35">
          <w:rPr>
            <w:rStyle w:val="Hyperlink"/>
          </w:rPr>
          <w:t>ITH/17/12.COM</w:t>
        </w:r>
        <w:r w:rsidR="0005223A">
          <w:rPr>
            <w:rStyle w:val="Hyperlink"/>
          </w:rPr>
          <w:t> </w:t>
        </w:r>
        <w:r w:rsidR="005B5CE7" w:rsidRPr="00516E35">
          <w:rPr>
            <w:rStyle w:val="Hyperlink"/>
          </w:rPr>
          <w:t>WG/7</w:t>
        </w:r>
      </w:hyperlink>
      <w:r w:rsidR="005B5CE7">
        <w:t>).</w:t>
      </w:r>
    </w:p>
    <w:p w14:paraId="3784C779" w14:textId="04686B89" w:rsidR="00B733DF" w:rsidRDefault="00B85CD1" w:rsidP="00B733DF">
      <w:pPr>
        <w:pStyle w:val="COMPara"/>
        <w:numPr>
          <w:ilvl w:val="0"/>
          <w:numId w:val="13"/>
        </w:numPr>
        <w:ind w:left="567" w:hanging="567"/>
        <w:jc w:val="both"/>
      </w:pPr>
      <w:r>
        <w:t xml:space="preserve">At its twelfth session, the </w:t>
      </w:r>
      <w:r w:rsidR="006B01C8">
        <w:t>Committee</w:t>
      </w:r>
      <w:r>
        <w:t xml:space="preserve"> </w:t>
      </w:r>
      <w:r w:rsidR="006B01C8">
        <w:t xml:space="preserve">endorsed the recommendation of the </w:t>
      </w:r>
      <w:r w:rsidR="002158BA">
        <w:t xml:space="preserve">above-mentioned </w:t>
      </w:r>
      <w:r w:rsidR="006B01C8">
        <w:t xml:space="preserve">open-ended intergovernmental working group and decided to </w:t>
      </w:r>
      <w:r w:rsidR="006B01C8" w:rsidRPr="00B733DF">
        <w:rPr>
          <w:lang w:val="en-US"/>
        </w:rPr>
        <w:t>reform the periodic reporting process with the aim of en</w:t>
      </w:r>
      <w:r w:rsidR="00A0724D">
        <w:rPr>
          <w:lang w:val="en-US"/>
        </w:rPr>
        <w:t xml:space="preserve">hancing its quality, usefulness </w:t>
      </w:r>
      <w:r w:rsidR="006B01C8" w:rsidRPr="00B733DF">
        <w:rPr>
          <w:lang w:val="en-US"/>
        </w:rPr>
        <w:t xml:space="preserve">and timeliness. It also decided to amend the periodicity of the submission of reports on the implementation of the Convention (Article 29) so that States Parties would submit their report every six years </w:t>
      </w:r>
      <w:r w:rsidR="005B5CE7" w:rsidRPr="00B733DF">
        <w:rPr>
          <w:lang w:val="en-US"/>
        </w:rPr>
        <w:t>based on</w:t>
      </w:r>
      <w:r w:rsidR="006B01C8" w:rsidRPr="00B733DF">
        <w:rPr>
          <w:lang w:val="en-US"/>
        </w:rPr>
        <w:t xml:space="preserve"> a</w:t>
      </w:r>
      <w:r>
        <w:rPr>
          <w:lang w:val="en-US"/>
        </w:rPr>
        <w:t xml:space="preserve"> system of</w:t>
      </w:r>
      <w:r w:rsidR="006B01C8" w:rsidRPr="00B733DF">
        <w:rPr>
          <w:lang w:val="en-US"/>
        </w:rPr>
        <w:t xml:space="preserve"> regional rotation </w:t>
      </w:r>
      <w:r w:rsidR="006B01C8" w:rsidRPr="00605129">
        <w:t>(</w:t>
      </w:r>
      <w:hyperlink r:id="rId10" w:history="1">
        <w:r w:rsidR="006715C3" w:rsidRPr="006715C3">
          <w:rPr>
            <w:rStyle w:val="Hyperlink"/>
          </w:rPr>
          <w:t>Decision </w:t>
        </w:r>
        <w:r w:rsidR="006715C3" w:rsidRPr="00B35C65">
          <w:rPr>
            <w:rStyle w:val="Hyperlink"/>
          </w:rPr>
          <w:t>12.COM 10</w:t>
        </w:r>
      </w:hyperlink>
      <w:r w:rsidR="006B01C8" w:rsidRPr="00605129">
        <w:t>)</w:t>
      </w:r>
      <w:r w:rsidR="006B01C8" w:rsidRPr="00B733DF">
        <w:rPr>
          <w:lang w:val="en-US"/>
        </w:rPr>
        <w:t>.</w:t>
      </w:r>
      <w:r w:rsidR="00183158">
        <w:rPr>
          <w:lang w:val="en-US"/>
        </w:rPr>
        <w:t xml:space="preserve"> </w:t>
      </w:r>
      <w:r w:rsidR="00183158">
        <w:t xml:space="preserve">It emphasized that this change would </w:t>
      </w:r>
      <w:r>
        <w:t>make</w:t>
      </w:r>
      <w:r w:rsidR="00183158">
        <w:t xml:space="preserve"> it easier for States Parties in a given region to benefit from collaboration at the regional or sub-regional levels and the capacity-building activities </w:t>
      </w:r>
      <w:r w:rsidR="005C4BD8">
        <w:t xml:space="preserve">for the reporting exercise </w:t>
      </w:r>
      <w:r w:rsidR="00183158">
        <w:t xml:space="preserve">would </w:t>
      </w:r>
      <w:r>
        <w:t xml:space="preserve">provide </w:t>
      </w:r>
      <w:r w:rsidR="00183158">
        <w:t>an opportunity to foster dialogue and exchange</w:t>
      </w:r>
      <w:r>
        <w:t>s</w:t>
      </w:r>
      <w:r w:rsidR="00183158">
        <w:t xml:space="preserve"> regarding national experiences. </w:t>
      </w:r>
      <w:r w:rsidR="00B733DF">
        <w:t xml:space="preserve">Operationally, the move towards the regional </w:t>
      </w:r>
      <w:r w:rsidR="00B733DF" w:rsidRPr="00B733DF">
        <w:rPr>
          <w:lang w:val="en-US"/>
        </w:rPr>
        <w:t xml:space="preserve">cycle of </w:t>
      </w:r>
      <w:r w:rsidR="00B733DF">
        <w:t xml:space="preserve">reporting on the implementation of the Convention and on the status of elements inscribed on </w:t>
      </w:r>
      <w:r w:rsidR="00915736">
        <w:t xml:space="preserve">the Representative List </w:t>
      </w:r>
      <w:r>
        <w:t xml:space="preserve">of the Intangible Cultural Heritage of Humanity (hereafter, ‘the Representative List’) </w:t>
      </w:r>
      <w:r w:rsidR="00915736">
        <w:t>required</w:t>
      </w:r>
      <w:r w:rsidR="00B733DF">
        <w:t>, first</w:t>
      </w:r>
      <w:r w:rsidR="006112CC">
        <w:t>ly</w:t>
      </w:r>
      <w:r w:rsidR="00B733DF">
        <w:t>, the revision of the Operational Directives</w:t>
      </w:r>
      <w:r w:rsidR="00915736">
        <w:t xml:space="preserve"> </w:t>
      </w:r>
      <w:r w:rsidR="005C4BD8">
        <w:t xml:space="preserve">on periodic reporting </w:t>
      </w:r>
      <w:r w:rsidR="00915736">
        <w:t>(</w:t>
      </w:r>
      <w:r w:rsidR="002D7B26">
        <w:t>Chapter V – Reporting to the Committee</w:t>
      </w:r>
      <w:r w:rsidR="00915736">
        <w:t>)</w:t>
      </w:r>
      <w:r w:rsidR="00B733DF">
        <w:t xml:space="preserve">. The Committee endorsed the </w:t>
      </w:r>
      <w:r w:rsidR="006112CC">
        <w:t xml:space="preserve">proposed </w:t>
      </w:r>
      <w:r w:rsidR="005C4BD8">
        <w:t xml:space="preserve">amendments </w:t>
      </w:r>
      <w:r w:rsidR="00915736">
        <w:t xml:space="preserve">to </w:t>
      </w:r>
      <w:r w:rsidR="002D7B26">
        <w:t xml:space="preserve">Chapter V </w:t>
      </w:r>
      <w:r w:rsidR="00915736">
        <w:t xml:space="preserve">and recommended </w:t>
      </w:r>
      <w:r>
        <w:t xml:space="preserve">that the </w:t>
      </w:r>
      <w:r w:rsidR="00B733DF">
        <w:t>Gen</w:t>
      </w:r>
      <w:r w:rsidR="00B4054A">
        <w:t>eral Assembly approve it (</w:t>
      </w:r>
      <w:hyperlink r:id="rId11" w:history="1">
        <w:r w:rsidR="00B4054A" w:rsidRPr="006715C3">
          <w:rPr>
            <w:rStyle w:val="Hyperlink"/>
          </w:rPr>
          <w:t>Decision </w:t>
        </w:r>
        <w:r w:rsidR="00B4054A" w:rsidRPr="00864FAA">
          <w:rPr>
            <w:rStyle w:val="Hyperlink"/>
          </w:rPr>
          <w:t>12.COM 10</w:t>
        </w:r>
      </w:hyperlink>
      <w:r w:rsidR="00B4054A">
        <w:t>).</w:t>
      </w:r>
    </w:p>
    <w:p w14:paraId="22CD4664" w14:textId="2CE4943C" w:rsidR="00FB7250" w:rsidRDefault="007154E6" w:rsidP="0005223A">
      <w:pPr>
        <w:pStyle w:val="COMPara"/>
        <w:numPr>
          <w:ilvl w:val="0"/>
          <w:numId w:val="13"/>
        </w:numPr>
        <w:ind w:left="567" w:hanging="567"/>
        <w:jc w:val="both"/>
      </w:pPr>
      <w:r>
        <w:t xml:space="preserve">At </w:t>
      </w:r>
      <w:r w:rsidR="000C7603">
        <w:t>its</w:t>
      </w:r>
      <w:r>
        <w:t xml:space="preserve"> </w:t>
      </w:r>
      <w:r w:rsidR="000C7603">
        <w:t xml:space="preserve">seventh </w:t>
      </w:r>
      <w:r>
        <w:t>session</w:t>
      </w:r>
      <w:r w:rsidR="000C7603">
        <w:t xml:space="preserve"> in June 2018,</w:t>
      </w:r>
      <w:r>
        <w:t xml:space="preserve"> the </w:t>
      </w:r>
      <w:r w:rsidR="00BA1ABC">
        <w:t xml:space="preserve">General Assembly </w:t>
      </w:r>
      <w:r w:rsidR="000C7603">
        <w:t xml:space="preserve">of States Parties to the Convention </w:t>
      </w:r>
      <w:r w:rsidR="002D7B26">
        <w:t xml:space="preserve">approved </w:t>
      </w:r>
      <w:r w:rsidR="00BA1ABC">
        <w:t xml:space="preserve">the </w:t>
      </w:r>
      <w:r>
        <w:t>overall results framework</w:t>
      </w:r>
      <w:r w:rsidR="00B4054A">
        <w:t xml:space="preserve"> </w:t>
      </w:r>
      <w:r w:rsidR="002D7B26">
        <w:t xml:space="preserve">for the 2003 Convention </w:t>
      </w:r>
      <w:r w:rsidR="00B4054A">
        <w:t>(</w:t>
      </w:r>
      <w:hyperlink r:id="rId12" w:history="1">
        <w:r w:rsidR="000C7603" w:rsidRPr="006715C3">
          <w:rPr>
            <w:rStyle w:val="Hyperlink"/>
          </w:rPr>
          <w:t>Resolution </w:t>
        </w:r>
        <w:r w:rsidR="00B4054A" w:rsidRPr="00864FAA">
          <w:rPr>
            <w:rStyle w:val="Hyperlink"/>
          </w:rPr>
          <w:t>7.GA</w:t>
        </w:r>
        <w:r w:rsidR="0005223A">
          <w:rPr>
            <w:rStyle w:val="Hyperlink"/>
          </w:rPr>
          <w:t> </w:t>
        </w:r>
        <w:r w:rsidR="00B4054A" w:rsidRPr="00864FAA">
          <w:rPr>
            <w:rStyle w:val="Hyperlink"/>
          </w:rPr>
          <w:t>9</w:t>
        </w:r>
      </w:hyperlink>
      <w:r w:rsidR="00B4054A">
        <w:t>)</w:t>
      </w:r>
      <w:r w:rsidR="000C7603">
        <w:t xml:space="preserve">. </w:t>
      </w:r>
      <w:r w:rsidR="009702A5">
        <w:t>M</w:t>
      </w:r>
      <w:r w:rsidR="002D7B26">
        <w:t xml:space="preserve">oreover, the General Assembly </w:t>
      </w:r>
      <w:r w:rsidR="000C7603">
        <w:t xml:space="preserve">approved the amendments to the Operational Directives on periodic reporting, </w:t>
      </w:r>
      <w:r w:rsidR="002D7B26">
        <w:t>welcom</w:t>
      </w:r>
      <w:r w:rsidR="000C7603">
        <w:t>ing</w:t>
      </w:r>
      <w:r w:rsidR="002D7B26">
        <w:t xml:space="preserve"> the </w:t>
      </w:r>
      <w:r w:rsidR="002D7B26" w:rsidRPr="00356D27">
        <w:rPr>
          <w:lang w:val="en-US"/>
        </w:rPr>
        <w:t>reform of the periodic reporting process initiated by the Committee and</w:t>
      </w:r>
      <w:r w:rsidR="002D7B26">
        <w:rPr>
          <w:lang w:val="en-US"/>
        </w:rPr>
        <w:t xml:space="preserve"> endors</w:t>
      </w:r>
      <w:r w:rsidR="0079059B">
        <w:rPr>
          <w:lang w:val="en-US"/>
        </w:rPr>
        <w:t>ing</w:t>
      </w:r>
      <w:r w:rsidR="002D7B26">
        <w:rPr>
          <w:lang w:val="en-US"/>
        </w:rPr>
        <w:t xml:space="preserve"> </w:t>
      </w:r>
      <w:r w:rsidR="002D7B26" w:rsidRPr="00356D27">
        <w:rPr>
          <w:lang w:val="en-US"/>
        </w:rPr>
        <w:t xml:space="preserve">its decision to move towards a regional </w:t>
      </w:r>
      <w:r w:rsidR="002D7B26" w:rsidRPr="0006620C">
        <w:rPr>
          <w:lang w:val="en-US"/>
        </w:rPr>
        <w:t xml:space="preserve">cycle of </w:t>
      </w:r>
      <w:r w:rsidR="002D7B26" w:rsidRPr="00356D27">
        <w:rPr>
          <w:lang w:val="en-US"/>
        </w:rPr>
        <w:t>reporting</w:t>
      </w:r>
      <w:r w:rsidR="000C7603">
        <w:rPr>
          <w:lang w:val="en-US"/>
        </w:rPr>
        <w:t xml:space="preserve"> </w:t>
      </w:r>
      <w:r w:rsidR="000C7603">
        <w:t>(</w:t>
      </w:r>
      <w:hyperlink r:id="rId13" w:history="1">
        <w:r w:rsidR="000C7603" w:rsidRPr="006715C3">
          <w:rPr>
            <w:rStyle w:val="Hyperlink"/>
          </w:rPr>
          <w:t>Resolution </w:t>
        </w:r>
        <w:r w:rsidR="000C7603" w:rsidRPr="00864FAA">
          <w:rPr>
            <w:rStyle w:val="Hyperlink"/>
          </w:rPr>
          <w:t>7.GA</w:t>
        </w:r>
        <w:r w:rsidR="0005223A">
          <w:rPr>
            <w:rStyle w:val="Hyperlink"/>
          </w:rPr>
          <w:t> </w:t>
        </w:r>
        <w:r w:rsidR="000C7603" w:rsidRPr="00864FAA">
          <w:rPr>
            <w:rStyle w:val="Hyperlink"/>
          </w:rPr>
          <w:t>10</w:t>
        </w:r>
      </w:hyperlink>
      <w:r w:rsidR="000C7603">
        <w:t>)</w:t>
      </w:r>
      <w:r w:rsidR="002D7B26">
        <w:rPr>
          <w:lang w:val="en-US"/>
        </w:rPr>
        <w:t>.</w:t>
      </w:r>
    </w:p>
    <w:p w14:paraId="0036BDD0" w14:textId="16DDB2FF" w:rsidR="00AA4589" w:rsidRPr="00C748F5" w:rsidRDefault="001D2A5E" w:rsidP="00BC7C0D">
      <w:pPr>
        <w:pStyle w:val="COMPara"/>
        <w:numPr>
          <w:ilvl w:val="0"/>
          <w:numId w:val="13"/>
        </w:numPr>
        <w:ind w:left="567" w:hanging="567"/>
        <w:jc w:val="both"/>
      </w:pPr>
      <w:r>
        <w:t>At that session</w:t>
      </w:r>
      <w:r w:rsidR="00B85CD1">
        <w:t>,</w:t>
      </w:r>
      <w:r>
        <w:t xml:space="preserve"> t</w:t>
      </w:r>
      <w:r w:rsidR="002D7B26">
        <w:t xml:space="preserve">he General Assembly </w:t>
      </w:r>
      <w:r w:rsidR="00466183">
        <w:t>indicated</w:t>
      </w:r>
      <w:r>
        <w:t xml:space="preserve"> a number of areas </w:t>
      </w:r>
      <w:r w:rsidR="00B85CD1">
        <w:t>o</w:t>
      </w:r>
      <w:r>
        <w:t>n which the reform should concentrate. Firstly, t</w:t>
      </w:r>
      <w:r w:rsidR="002D7B26" w:rsidRPr="002F1E28">
        <w:t xml:space="preserve">he Secretariat </w:t>
      </w:r>
      <w:proofErr w:type="gramStart"/>
      <w:r>
        <w:t>is requested</w:t>
      </w:r>
      <w:proofErr w:type="gramEnd"/>
      <w:r>
        <w:t xml:space="preserve"> </w:t>
      </w:r>
      <w:r w:rsidR="002D7B26">
        <w:t xml:space="preserve">to </w:t>
      </w:r>
      <w:r w:rsidR="002D7B26" w:rsidRPr="002F1E28">
        <w:t xml:space="preserve">revise </w:t>
      </w:r>
      <w:r w:rsidR="005A53AA">
        <w:t>F</w:t>
      </w:r>
      <w:r w:rsidR="002D7B26" w:rsidRPr="002F1E28">
        <w:t xml:space="preserve">orm </w:t>
      </w:r>
      <w:r w:rsidR="005A53AA">
        <w:t xml:space="preserve">ICH-10 </w:t>
      </w:r>
      <w:r w:rsidR="009702A5">
        <w:t xml:space="preserve">to align it </w:t>
      </w:r>
      <w:r w:rsidR="006112CC">
        <w:t>with</w:t>
      </w:r>
      <w:r w:rsidR="00B85CD1">
        <w:t xml:space="preserve"> </w:t>
      </w:r>
      <w:r w:rsidR="009702A5">
        <w:t xml:space="preserve">the </w:t>
      </w:r>
      <w:r w:rsidR="005A53AA">
        <w:t xml:space="preserve">overall results </w:t>
      </w:r>
      <w:r w:rsidR="009702A5">
        <w:t>framework itself</w:t>
      </w:r>
      <w:r w:rsidR="002D7B26" w:rsidRPr="00BC7C0D">
        <w:t>.</w:t>
      </w:r>
      <w:r w:rsidRPr="00BC7C0D">
        <w:t xml:space="preserve"> </w:t>
      </w:r>
      <w:r w:rsidR="00FB7250">
        <w:t xml:space="preserve">The online version of this form will be made available as part of the ongoing reform. </w:t>
      </w:r>
      <w:r>
        <w:t>Secondly, the Secretariat is encouraged to</w:t>
      </w:r>
      <w:r w:rsidRPr="00C748F5">
        <w:t xml:space="preserve"> </w:t>
      </w:r>
      <w:r w:rsidR="00466183" w:rsidRPr="00C748F5">
        <w:t>prepare</w:t>
      </w:r>
      <w:r w:rsidRPr="00C748F5">
        <w:t xml:space="preserve"> guidance note</w:t>
      </w:r>
      <w:r w:rsidR="00B464CF">
        <w:t>s</w:t>
      </w:r>
      <w:r w:rsidRPr="00C748F5">
        <w:t xml:space="preserve"> for each of the twenty-</w:t>
      </w:r>
      <w:r w:rsidR="00E72EAE">
        <w:t>four</w:t>
      </w:r>
      <w:r w:rsidR="00E72EAE" w:rsidRPr="00C748F5">
        <w:t xml:space="preserve"> </w:t>
      </w:r>
      <w:r w:rsidRPr="00C748F5">
        <w:t>core indicators</w:t>
      </w:r>
      <w:r w:rsidR="00E72EAE">
        <w:t xml:space="preserve"> (two additional </w:t>
      </w:r>
      <w:r w:rsidR="00BC658B">
        <w:t>indicators</w:t>
      </w:r>
      <w:r w:rsidR="00E72EAE">
        <w:t xml:space="preserve"> will be monitored and reported only at the global level by the Secretariat)</w:t>
      </w:r>
      <w:r w:rsidRPr="00C748F5">
        <w:t xml:space="preserve">, and other informational materials to support States Parties and other actors in their implementation of the overall results framework. Thirdly, </w:t>
      </w:r>
      <w:r w:rsidR="00AA4589" w:rsidRPr="00C748F5">
        <w:t xml:space="preserve">the Secretariat </w:t>
      </w:r>
      <w:proofErr w:type="gramStart"/>
      <w:r w:rsidR="00AA4589" w:rsidRPr="00C748F5">
        <w:t>is invited</w:t>
      </w:r>
      <w:proofErr w:type="gramEnd"/>
      <w:r w:rsidR="00AA4589" w:rsidRPr="00C748F5">
        <w:t xml:space="preserve"> to develop a capacity-building approach with the necessary materials, which will also be aligned </w:t>
      </w:r>
      <w:r w:rsidR="006112CC">
        <w:t>with</w:t>
      </w:r>
      <w:r w:rsidR="00AA4589" w:rsidRPr="00517A25">
        <w:t xml:space="preserve"> the overall results framework</w:t>
      </w:r>
      <w:r w:rsidR="00B85CD1">
        <w:t>.</w:t>
      </w:r>
      <w:r w:rsidR="00AA4589" w:rsidRPr="00517A25">
        <w:t xml:space="preserve"> </w:t>
      </w:r>
      <w:r w:rsidR="00B85CD1">
        <w:t>S</w:t>
      </w:r>
      <w:r w:rsidR="00AA4589" w:rsidRPr="00C748F5">
        <w:t xml:space="preserve">ubject to the availability of </w:t>
      </w:r>
      <w:proofErr w:type="spellStart"/>
      <w:r w:rsidR="00AA4589" w:rsidRPr="00C748F5">
        <w:t>extrabudgetary</w:t>
      </w:r>
      <w:proofErr w:type="spellEnd"/>
      <w:r w:rsidR="00AA4589" w:rsidRPr="00C748F5">
        <w:t xml:space="preserve"> funds, capacity-building activities</w:t>
      </w:r>
      <w:r w:rsidR="00466183" w:rsidRPr="00C748F5">
        <w:t xml:space="preserve"> are to </w:t>
      </w:r>
      <w:proofErr w:type="gramStart"/>
      <w:r w:rsidR="00466183" w:rsidRPr="00C748F5">
        <w:t>be implemented</w:t>
      </w:r>
      <w:proofErr w:type="gramEnd"/>
      <w:r w:rsidR="00AA4589" w:rsidRPr="00C748F5">
        <w:t xml:space="preserve"> to support States Parties and other actors in their implementation of the overall results framework as well as in their periodic reporting exercise.</w:t>
      </w:r>
    </w:p>
    <w:p w14:paraId="226D193A" w14:textId="71607B1C" w:rsidR="00305618" w:rsidRDefault="00305618" w:rsidP="00305298">
      <w:pPr>
        <w:pStyle w:val="COMPara"/>
        <w:numPr>
          <w:ilvl w:val="0"/>
          <w:numId w:val="13"/>
        </w:numPr>
        <w:ind w:left="567" w:hanging="567"/>
        <w:jc w:val="both"/>
      </w:pPr>
      <w:proofErr w:type="gramStart"/>
      <w:r>
        <w:t xml:space="preserve">While taking note of the </w:t>
      </w:r>
      <w:r w:rsidR="00AC202D">
        <w:t>time n</w:t>
      </w:r>
      <w:r>
        <w:t>e</w:t>
      </w:r>
      <w:r w:rsidR="00B85CD1">
        <w:t>eded</w:t>
      </w:r>
      <w:r>
        <w:t xml:space="preserve"> </w:t>
      </w:r>
      <w:r w:rsidR="00AC202D">
        <w:t>to set up</w:t>
      </w:r>
      <w:r>
        <w:t xml:space="preserve"> the new calendar and </w:t>
      </w:r>
      <w:r w:rsidR="00AC202D">
        <w:t xml:space="preserve">for the </w:t>
      </w:r>
      <w:r>
        <w:t xml:space="preserve">system </w:t>
      </w:r>
      <w:r w:rsidR="00AC202D">
        <w:t xml:space="preserve">to become </w:t>
      </w:r>
      <w:r w:rsidR="00B85CD1">
        <w:t xml:space="preserve">fully </w:t>
      </w:r>
      <w:r w:rsidR="00EF6E74">
        <w:t>operational</w:t>
      </w:r>
      <w:r>
        <w:t xml:space="preserve">, the </w:t>
      </w:r>
      <w:r w:rsidR="0079059B">
        <w:t xml:space="preserve">Committee </w:t>
      </w:r>
      <w:r w:rsidR="00AC202D">
        <w:t xml:space="preserve">requested </w:t>
      </w:r>
      <w:r>
        <w:t xml:space="preserve">to </w:t>
      </w:r>
      <w:r w:rsidR="0079059B">
        <w:t xml:space="preserve">be </w:t>
      </w:r>
      <w:r>
        <w:t>inform</w:t>
      </w:r>
      <w:r w:rsidR="0079059B">
        <w:t>ed by the Secretariat</w:t>
      </w:r>
      <w:r>
        <w:t xml:space="preserve"> </w:t>
      </w:r>
      <w:r w:rsidR="00B85CD1">
        <w:t xml:space="preserve">about </w:t>
      </w:r>
      <w:r w:rsidR="00B67CA3">
        <w:t xml:space="preserve">its plan for </w:t>
      </w:r>
      <w:r>
        <w:t xml:space="preserve">the transition towards a reform of the periodic reporting mechanism at its current session </w:t>
      </w:r>
      <w:r w:rsidRPr="00605129">
        <w:t>(</w:t>
      </w:r>
      <w:hyperlink r:id="rId14" w:history="1">
        <w:r w:rsidR="006715C3" w:rsidRPr="006715C3">
          <w:rPr>
            <w:rStyle w:val="Hyperlink"/>
          </w:rPr>
          <w:t>Decision </w:t>
        </w:r>
        <w:r w:rsidR="006715C3" w:rsidRPr="00B35C65">
          <w:rPr>
            <w:rStyle w:val="Hyperlink"/>
          </w:rPr>
          <w:t>12.COM 10</w:t>
        </w:r>
      </w:hyperlink>
      <w:r w:rsidRPr="00605129">
        <w:t>)</w:t>
      </w:r>
      <w:r w:rsidR="00AC202D">
        <w:t>;</w:t>
      </w:r>
      <w:r w:rsidR="00635B26">
        <w:t xml:space="preserve"> </w:t>
      </w:r>
      <w:r w:rsidR="00B85CD1">
        <w:t xml:space="preserve">this </w:t>
      </w:r>
      <w:r w:rsidR="006B01C8" w:rsidRPr="00183158">
        <w:t>transition period</w:t>
      </w:r>
      <w:r w:rsidR="00183158">
        <w:t xml:space="preserve"> </w:t>
      </w:r>
      <w:r w:rsidR="00DE3D8E">
        <w:t xml:space="preserve">started </w:t>
      </w:r>
      <w:r w:rsidR="006B01C8" w:rsidRPr="00183158">
        <w:t>in the second half of 2018 and</w:t>
      </w:r>
      <w:r w:rsidR="00DE3D8E">
        <w:t xml:space="preserve"> will</w:t>
      </w:r>
      <w:r w:rsidR="006B01C8" w:rsidRPr="00183158">
        <w:t xml:space="preserve"> last for all of 2019.</w:t>
      </w:r>
      <w:proofErr w:type="gramEnd"/>
      <w:r w:rsidR="006B01C8" w:rsidRPr="00183158">
        <w:t xml:space="preserve"> This means that the submission of periodic reports on the implementation of the Convention </w:t>
      </w:r>
      <w:r w:rsidR="009702A5">
        <w:t xml:space="preserve">and on elements inscribed on the Representative List </w:t>
      </w:r>
      <w:proofErr w:type="gramStart"/>
      <w:r w:rsidR="004A6732">
        <w:t xml:space="preserve">has been </w:t>
      </w:r>
      <w:r w:rsidR="006B01C8" w:rsidRPr="00183158">
        <w:t>suspended</w:t>
      </w:r>
      <w:proofErr w:type="gramEnd"/>
      <w:r w:rsidR="006B01C8" w:rsidRPr="00183158">
        <w:t xml:space="preserve"> for the deadline</w:t>
      </w:r>
      <w:r w:rsidR="009702A5">
        <w:t>s</w:t>
      </w:r>
      <w:r w:rsidR="006B01C8" w:rsidRPr="00183158">
        <w:t xml:space="preserve"> of 15 December 2018 and 2019, including for overdue r</w:t>
      </w:r>
      <w:r w:rsidR="00A0724D">
        <w:t>eports.</w:t>
      </w:r>
    </w:p>
    <w:p w14:paraId="4E6D9678" w14:textId="7E1099CF" w:rsidR="006B01C8" w:rsidRPr="00183158" w:rsidRDefault="00BC7C0D" w:rsidP="00864FAA">
      <w:pPr>
        <w:pStyle w:val="COMPara"/>
        <w:numPr>
          <w:ilvl w:val="0"/>
          <w:numId w:val="13"/>
        </w:numPr>
        <w:ind w:left="567" w:hanging="567"/>
        <w:jc w:val="both"/>
      </w:pPr>
      <w:r>
        <w:lastRenderedPageBreak/>
        <w:t>Since the seventh session of the General Assembly</w:t>
      </w:r>
      <w:r w:rsidR="00305618">
        <w:t>, the Secretariat has initiated</w:t>
      </w:r>
      <w:r w:rsidR="00996D9E">
        <w:t xml:space="preserve"> </w:t>
      </w:r>
      <w:r w:rsidR="00305618">
        <w:t>the process</w:t>
      </w:r>
      <w:r w:rsidR="006E0E76">
        <w:t xml:space="preserve"> on the </w:t>
      </w:r>
      <w:r w:rsidR="00305618">
        <w:t xml:space="preserve">revisions </w:t>
      </w:r>
      <w:r w:rsidR="006112CC">
        <w:t xml:space="preserve">to </w:t>
      </w:r>
      <w:r w:rsidR="006E0E76">
        <w:t>F</w:t>
      </w:r>
      <w:r w:rsidR="00305618">
        <w:t>orm ICH-10</w:t>
      </w:r>
      <w:r w:rsidR="00996D9E">
        <w:t xml:space="preserve"> and </w:t>
      </w:r>
      <w:r w:rsidR="00305618">
        <w:t>the preparation of the guidance note</w:t>
      </w:r>
      <w:r w:rsidR="00635B26">
        <w:t>s</w:t>
      </w:r>
      <w:r w:rsidR="00305618">
        <w:t>.</w:t>
      </w:r>
      <w:r w:rsidR="00F54255" w:rsidRPr="00F54255">
        <w:t xml:space="preserve"> </w:t>
      </w:r>
      <w:r w:rsidR="0073622C">
        <w:t>These actions are undertaken in parallel</w:t>
      </w:r>
      <w:r w:rsidR="00942B5F">
        <w:t xml:space="preserve"> since the</w:t>
      </w:r>
      <w:r w:rsidR="00EF6E74">
        <w:t>y</w:t>
      </w:r>
      <w:r w:rsidR="00942B5F">
        <w:t xml:space="preserve"> are interrelated and the advancement o</w:t>
      </w:r>
      <w:r w:rsidR="006112CC">
        <w:t>f</w:t>
      </w:r>
      <w:r w:rsidR="00942B5F">
        <w:t xml:space="preserve"> one </w:t>
      </w:r>
      <w:r w:rsidR="00B464CF">
        <w:t>must</w:t>
      </w:r>
      <w:r w:rsidR="00942B5F">
        <w:t xml:space="preserve"> inform the other and vice versa; </w:t>
      </w:r>
      <w:r w:rsidR="006112CC">
        <w:t xml:space="preserve">the </w:t>
      </w:r>
      <w:r w:rsidR="00942B5F">
        <w:t xml:space="preserve">experiences of other </w:t>
      </w:r>
      <w:r w:rsidR="006112CC">
        <w:t>C</w:t>
      </w:r>
      <w:r w:rsidR="00942B5F">
        <w:t>onvention</w:t>
      </w:r>
      <w:r w:rsidR="00EF6E74">
        <w:t>s</w:t>
      </w:r>
      <w:r w:rsidR="00942B5F">
        <w:t xml:space="preserve"> in the field of Culture and beyond </w:t>
      </w:r>
      <w:proofErr w:type="gramStart"/>
      <w:r w:rsidR="00942B5F">
        <w:t>are also</w:t>
      </w:r>
      <w:proofErr w:type="gramEnd"/>
      <w:r w:rsidR="00942B5F">
        <w:t xml:space="preserve"> being taken into account.</w:t>
      </w:r>
      <w:r w:rsidR="004C5520">
        <w:t xml:space="preserve"> </w:t>
      </w:r>
      <w:r w:rsidR="00635B26" w:rsidRPr="00C35797">
        <w:t>The process of revising periodic reporting Form ICH-10</w:t>
      </w:r>
      <w:r w:rsidR="00305298" w:rsidRPr="00C35797">
        <w:t xml:space="preserve">, </w:t>
      </w:r>
      <w:r w:rsidR="00634717" w:rsidRPr="00E72EAE">
        <w:t>developing</w:t>
      </w:r>
      <w:r w:rsidR="00635B26" w:rsidRPr="00C35797">
        <w:t xml:space="preserve"> the necessary capacity-building approach and materials</w:t>
      </w:r>
      <w:r w:rsidR="00305298" w:rsidRPr="00C35797">
        <w:t>, and</w:t>
      </w:r>
      <w:r w:rsidR="00635B26" w:rsidRPr="00C35797">
        <w:t xml:space="preserve"> </w:t>
      </w:r>
      <w:r w:rsidR="00305298" w:rsidRPr="00C35797">
        <w:t xml:space="preserve">adapting the existing online reporting tool </w:t>
      </w:r>
      <w:r w:rsidR="00635B26" w:rsidRPr="00C35797">
        <w:t xml:space="preserve">will continue </w:t>
      </w:r>
      <w:r w:rsidR="00305298" w:rsidRPr="00C35797">
        <w:t>until the end of 2019</w:t>
      </w:r>
      <w:r w:rsidR="00634717" w:rsidRPr="00E72EAE">
        <w:t xml:space="preserve">, while the updates </w:t>
      </w:r>
      <w:proofErr w:type="gramStart"/>
      <w:r w:rsidR="00634717" w:rsidRPr="00E72EAE">
        <w:t>will be reported</w:t>
      </w:r>
      <w:proofErr w:type="gramEnd"/>
      <w:r w:rsidR="00634717" w:rsidRPr="00E72EAE">
        <w:t xml:space="preserve"> to the fourteenth session of the Committee. </w:t>
      </w:r>
      <w:r w:rsidR="006B01C8" w:rsidRPr="00C35797">
        <w:t xml:space="preserve">By early 2020, the Secretariat </w:t>
      </w:r>
      <w:r w:rsidR="00634717" w:rsidRPr="00E72EAE">
        <w:t xml:space="preserve">should </w:t>
      </w:r>
      <w:r w:rsidR="006B01C8" w:rsidRPr="00C35797">
        <w:t>be ready to roll out the new procedures for periodic reporting on the implementation of the Convention</w:t>
      </w:r>
      <w:r w:rsidR="004A6732" w:rsidRPr="00C35797">
        <w:t xml:space="preserve"> along with the capacity-building </w:t>
      </w:r>
      <w:r w:rsidR="00305298" w:rsidRPr="00C35797">
        <w:t xml:space="preserve">activities </w:t>
      </w:r>
      <w:r w:rsidR="006B01C8" w:rsidRPr="00C35797">
        <w:t>in the first region.</w:t>
      </w:r>
    </w:p>
    <w:p w14:paraId="5D324F9C" w14:textId="22077A80" w:rsidR="00305298" w:rsidRDefault="00305298" w:rsidP="0005223A">
      <w:pPr>
        <w:pStyle w:val="COMPara"/>
        <w:numPr>
          <w:ilvl w:val="0"/>
          <w:numId w:val="13"/>
        </w:numPr>
        <w:ind w:left="567" w:hanging="567"/>
        <w:jc w:val="both"/>
      </w:pPr>
      <w:r>
        <w:t>The reform of the periodic reporting mechanism, and in particular the revisions to Form ICH</w:t>
      </w:r>
      <w:r w:rsidR="006C255C">
        <w:noBreakHyphen/>
      </w:r>
      <w:r>
        <w:t xml:space="preserve">10, </w:t>
      </w:r>
      <w:r w:rsidR="00BE01DA">
        <w:t>is being</w:t>
      </w:r>
      <w:r>
        <w:t xml:space="preserve"> supported by </w:t>
      </w:r>
      <w:r w:rsidR="00B464CF">
        <w:t xml:space="preserve">a </w:t>
      </w:r>
      <w:r>
        <w:t xml:space="preserve">generous </w:t>
      </w:r>
      <w:r w:rsidRPr="00053CFA">
        <w:t xml:space="preserve">voluntary supplementary contribution </w:t>
      </w:r>
      <w:r w:rsidR="00B464CF">
        <w:t>from</w:t>
      </w:r>
      <w:r w:rsidR="00B464CF" w:rsidRPr="00053CFA">
        <w:t xml:space="preserve"> </w:t>
      </w:r>
      <w:r w:rsidRPr="00053CFA">
        <w:t xml:space="preserve">the Republic of Korea to the Intangible Cultural Heritage Fund, </w:t>
      </w:r>
      <w:r w:rsidR="00BC658B">
        <w:t>for</w:t>
      </w:r>
      <w:r w:rsidR="00E72EAE" w:rsidRPr="00053CFA">
        <w:t xml:space="preserve"> </w:t>
      </w:r>
      <w:r w:rsidRPr="00053CFA">
        <w:t xml:space="preserve">the amount of US$300,000, </w:t>
      </w:r>
      <w:r>
        <w:t xml:space="preserve">which was </w:t>
      </w:r>
      <w:r w:rsidRPr="00053CFA">
        <w:t>approved by the Committee at its eleventh session (</w:t>
      </w:r>
      <w:hyperlink r:id="rId15" w:history="1">
        <w:r w:rsidR="0005223A">
          <w:rPr>
            <w:rStyle w:val="Hyperlink"/>
          </w:rPr>
          <w:t>Decision </w:t>
        </w:r>
        <w:r w:rsidRPr="00053CFA">
          <w:rPr>
            <w:rStyle w:val="Hyperlink"/>
          </w:rPr>
          <w:t>11.COM</w:t>
        </w:r>
        <w:r w:rsidR="0005223A">
          <w:rPr>
            <w:rStyle w:val="Hyperlink"/>
          </w:rPr>
          <w:t> </w:t>
        </w:r>
        <w:r w:rsidRPr="00053CFA">
          <w:rPr>
            <w:rStyle w:val="Hyperlink"/>
          </w:rPr>
          <w:t>6</w:t>
        </w:r>
      </w:hyperlink>
      <w:r>
        <w:t>).</w:t>
      </w:r>
    </w:p>
    <w:p w14:paraId="6E250197" w14:textId="04C68A69" w:rsidR="00183158" w:rsidRDefault="00305298" w:rsidP="0005223A">
      <w:pPr>
        <w:pStyle w:val="COMPara"/>
        <w:numPr>
          <w:ilvl w:val="0"/>
          <w:numId w:val="13"/>
        </w:numPr>
        <w:ind w:left="567" w:hanging="567"/>
        <w:jc w:val="both"/>
      </w:pPr>
      <w:r>
        <w:t>For the time being, t</w:t>
      </w:r>
      <w:r w:rsidR="00562B5F">
        <w:t xml:space="preserve">he change in the periodic reporting </w:t>
      </w:r>
      <w:r>
        <w:t xml:space="preserve">mechanism </w:t>
      </w:r>
      <w:r w:rsidR="00183158">
        <w:t>will not affect the procedure for reporting</w:t>
      </w:r>
      <w:r w:rsidR="00183158" w:rsidRPr="00906C2C">
        <w:t xml:space="preserve"> </w:t>
      </w:r>
      <w:r w:rsidR="00183158">
        <w:t xml:space="preserve">on the status of elements inscribed on the </w:t>
      </w:r>
      <w:r w:rsidR="00B464CF">
        <w:t xml:space="preserve">List of Intangible Cultural Heritage in Need of </w:t>
      </w:r>
      <w:r w:rsidR="00183158">
        <w:t xml:space="preserve">Urgent Safeguarding </w:t>
      </w:r>
      <w:r w:rsidR="00B464CF">
        <w:t>(hereafter, ‘the Urgent Safeguarding List’)</w:t>
      </w:r>
      <w:r w:rsidR="00183158">
        <w:t xml:space="preserve">. This is mainly because of the reflections the Committee has started on the future of the Lists and some important </w:t>
      </w:r>
      <w:r w:rsidR="00B464CF">
        <w:t xml:space="preserve">related </w:t>
      </w:r>
      <w:r>
        <w:t>procedure</w:t>
      </w:r>
      <w:r w:rsidR="00B464CF">
        <w:t>s</w:t>
      </w:r>
      <w:r w:rsidR="00183158">
        <w:t xml:space="preserve">, such as the transfer and removal of </w:t>
      </w:r>
      <w:r>
        <w:t xml:space="preserve">already </w:t>
      </w:r>
      <w:r w:rsidR="00183158">
        <w:t>inscribed elements</w:t>
      </w:r>
      <w:r w:rsidR="007B6FEB">
        <w:t xml:space="preserve"> (</w:t>
      </w:r>
      <w:hyperlink r:id="rId16" w:history="1">
        <w:r w:rsidR="007B6FEB" w:rsidRPr="006C255C">
          <w:rPr>
            <w:rStyle w:val="Hyperlink"/>
          </w:rPr>
          <w:t>Decision </w:t>
        </w:r>
        <w:r w:rsidR="007B6FEB" w:rsidRPr="00D73AE7">
          <w:rPr>
            <w:rStyle w:val="Hyperlink"/>
          </w:rPr>
          <w:t>12.COM</w:t>
        </w:r>
        <w:r w:rsidR="0005223A">
          <w:rPr>
            <w:rStyle w:val="Hyperlink"/>
          </w:rPr>
          <w:t> </w:t>
        </w:r>
        <w:r w:rsidR="007B6FEB" w:rsidRPr="00D73AE7">
          <w:rPr>
            <w:rStyle w:val="Hyperlink"/>
          </w:rPr>
          <w:t>14</w:t>
        </w:r>
      </w:hyperlink>
      <w:r w:rsidR="007B6FEB">
        <w:t xml:space="preserve">) </w:t>
      </w:r>
      <w:r w:rsidR="00562B5F">
        <w:t xml:space="preserve">and </w:t>
      </w:r>
      <w:r w:rsidR="009307BD">
        <w:t>anothe</w:t>
      </w:r>
      <w:r w:rsidR="009307BD" w:rsidRPr="0005223A">
        <w:t>r</w:t>
      </w:r>
      <w:r w:rsidRPr="0005223A">
        <w:t xml:space="preserve"> on </w:t>
      </w:r>
      <w:r w:rsidR="009307BD" w:rsidRPr="0005223A">
        <w:t>the follow</w:t>
      </w:r>
      <w:r w:rsidR="00B464CF" w:rsidRPr="0005223A">
        <w:t>-</w:t>
      </w:r>
      <w:r w:rsidR="009307BD" w:rsidRPr="0005223A">
        <w:t xml:space="preserve">up </w:t>
      </w:r>
      <w:r w:rsidR="00562B5F" w:rsidRPr="0005223A">
        <w:t>of inscribed elements</w:t>
      </w:r>
      <w:r w:rsidR="00305618" w:rsidRPr="0005223A">
        <w:t xml:space="preserve"> </w:t>
      </w:r>
      <w:r w:rsidR="00562B5F" w:rsidRPr="0005223A">
        <w:t>(</w:t>
      </w:r>
      <w:r w:rsidR="009307BD" w:rsidRPr="0005223A">
        <w:t>see document</w:t>
      </w:r>
      <w:r w:rsidR="008A73D5">
        <w:t> </w:t>
      </w:r>
      <w:hyperlink r:id="rId17" w:history="1">
        <w:r w:rsidR="007B6FEB" w:rsidRPr="0005223A">
          <w:rPr>
            <w:rStyle w:val="Hyperlink"/>
          </w:rPr>
          <w:t>ITH/18/13.COM/9</w:t>
        </w:r>
      </w:hyperlink>
      <w:r w:rsidR="00562B5F">
        <w:t>)</w:t>
      </w:r>
      <w:r w:rsidR="00183158">
        <w:t xml:space="preserve">. Once these reflections have advanced, the Committee will be in a better position to decide whether to harmonize the reporting mechanism related to the Urgent Safeguarding List with the regional calendar or keep it as a separate system as it currently stands, on a quadrennial and inscription year-based schedule. Moreover, no revision </w:t>
      </w:r>
      <w:proofErr w:type="gramStart"/>
      <w:r w:rsidR="00BE01DA">
        <w:t xml:space="preserve">has been </w:t>
      </w:r>
      <w:r w:rsidR="00183158">
        <w:t>proposed</w:t>
      </w:r>
      <w:proofErr w:type="gramEnd"/>
      <w:r w:rsidR="00183158">
        <w:t xml:space="preserve"> for the procedure for </w:t>
      </w:r>
      <w:r w:rsidR="00183158" w:rsidRPr="0031637C">
        <w:t>States non-party to the Convention</w:t>
      </w:r>
      <w:r w:rsidR="00183158">
        <w:t xml:space="preserve"> reporting</w:t>
      </w:r>
      <w:r w:rsidR="00183158" w:rsidRPr="0031637C">
        <w:t xml:space="preserve"> on elements inscribed on the Representative List</w:t>
      </w:r>
      <w:r w:rsidR="00183158">
        <w:t>; this currently concerns one State</w:t>
      </w:r>
      <w:r w:rsidR="006112CC" w:rsidRPr="006112CC">
        <w:t xml:space="preserve"> </w:t>
      </w:r>
      <w:r w:rsidR="006112CC">
        <w:t>only</w:t>
      </w:r>
      <w:r w:rsidR="00183158">
        <w:t xml:space="preserve">. This will remain a sexennial reporting process, based on the year of incorporation of </w:t>
      </w:r>
      <w:r w:rsidR="00183158" w:rsidRPr="0096363C">
        <w:t xml:space="preserve">Masterpieces </w:t>
      </w:r>
      <w:r w:rsidR="00183158">
        <w:t>on</w:t>
      </w:r>
      <w:r w:rsidR="00183158" w:rsidRPr="0096363C">
        <w:t xml:space="preserve"> the Representative List</w:t>
      </w:r>
      <w:r w:rsidR="00305618">
        <w:t xml:space="preserve"> (2008)</w:t>
      </w:r>
      <w:r w:rsidR="00183158">
        <w:t>.</w:t>
      </w:r>
    </w:p>
    <w:p w14:paraId="6ED83651" w14:textId="77777777" w:rsidR="009702A5" w:rsidRPr="008561AD" w:rsidRDefault="009702A5" w:rsidP="008561AD">
      <w:pPr>
        <w:pStyle w:val="COMPara"/>
        <w:numPr>
          <w:ilvl w:val="0"/>
          <w:numId w:val="0"/>
        </w:numPr>
        <w:spacing w:before="240"/>
        <w:jc w:val="both"/>
        <w:rPr>
          <w:b/>
        </w:rPr>
      </w:pPr>
      <w:bookmarkStart w:id="1" w:name="_Ref524960065"/>
      <w:r w:rsidRPr="008561AD">
        <w:rPr>
          <w:b/>
        </w:rPr>
        <w:t>Calendar for the first regional cycle of reporting</w:t>
      </w:r>
    </w:p>
    <w:p w14:paraId="1E72822C" w14:textId="6A0782C9" w:rsidR="00305618" w:rsidRPr="0008597B" w:rsidRDefault="006F0FE4" w:rsidP="0005223A">
      <w:pPr>
        <w:pStyle w:val="COMPara"/>
        <w:numPr>
          <w:ilvl w:val="0"/>
          <w:numId w:val="13"/>
        </w:numPr>
        <w:ind w:left="567" w:hanging="567"/>
        <w:jc w:val="both"/>
      </w:pPr>
      <w:r>
        <w:t xml:space="preserve">As per </w:t>
      </w:r>
      <w:hyperlink r:id="rId18" w:history="1">
        <w:r w:rsidR="008B3C63" w:rsidRPr="00864FAA">
          <w:rPr>
            <w:rStyle w:val="Hyperlink"/>
          </w:rPr>
          <w:t>Decision </w:t>
        </w:r>
        <w:r w:rsidR="008B3C63" w:rsidRPr="00D16318">
          <w:rPr>
            <w:rStyle w:val="Hyperlink"/>
          </w:rPr>
          <w:t>12.COM 10</w:t>
        </w:r>
      </w:hyperlink>
      <w:r w:rsidR="008B3C63" w:rsidRPr="008561AD">
        <w:t xml:space="preserve">, </w:t>
      </w:r>
      <w:r>
        <w:t>t</w:t>
      </w:r>
      <w:r w:rsidR="008B3C63">
        <w:t xml:space="preserve">he Committee </w:t>
      </w:r>
      <w:proofErr w:type="gramStart"/>
      <w:r w:rsidR="00BC658B">
        <w:t>is asked</w:t>
      </w:r>
      <w:proofErr w:type="gramEnd"/>
      <w:r w:rsidR="00BC658B">
        <w:t xml:space="preserve"> to establish </w:t>
      </w:r>
      <w:r w:rsidR="008B3C63">
        <w:t>the calendar for the first regional cycle of reports at its current session.</w:t>
      </w:r>
      <w:r w:rsidR="00BC658B">
        <w:t xml:space="preserve"> </w:t>
      </w:r>
      <w:proofErr w:type="gramStart"/>
      <w:r w:rsidR="00151381" w:rsidRPr="00BC658B">
        <w:rPr>
          <w:bCs/>
          <w:lang w:val="en-US"/>
        </w:rPr>
        <w:t xml:space="preserve">One </w:t>
      </w:r>
      <w:r w:rsidR="00263114" w:rsidRPr="00BC658B">
        <w:rPr>
          <w:bCs/>
          <w:lang w:val="en-US"/>
        </w:rPr>
        <w:t xml:space="preserve">option </w:t>
      </w:r>
      <w:r w:rsidR="00D81384" w:rsidRPr="00BC658B">
        <w:rPr>
          <w:bCs/>
          <w:lang w:val="en-US"/>
        </w:rPr>
        <w:t xml:space="preserve">has </w:t>
      </w:r>
      <w:r w:rsidR="00B464CF" w:rsidRPr="00BC658B">
        <w:rPr>
          <w:bCs/>
          <w:lang w:val="en-US"/>
        </w:rPr>
        <w:t xml:space="preserve">already </w:t>
      </w:r>
      <w:r w:rsidR="00D81384" w:rsidRPr="00BC658B">
        <w:rPr>
          <w:bCs/>
          <w:lang w:val="en-US"/>
        </w:rPr>
        <w:t xml:space="preserve">been identified </w:t>
      </w:r>
      <w:r w:rsidR="008B3C63" w:rsidRPr="0008597B">
        <w:t xml:space="preserve">in document </w:t>
      </w:r>
      <w:hyperlink r:id="rId19" w:history="1">
        <w:r w:rsidR="008B3C63" w:rsidRPr="00BC658B">
          <w:rPr>
            <w:rStyle w:val="Hyperlink"/>
            <w:lang w:val="en-US"/>
          </w:rPr>
          <w:t>ITH/17/12.COM/10</w:t>
        </w:r>
      </w:hyperlink>
      <w:r w:rsidR="00263114" w:rsidRPr="00BC658B">
        <w:rPr>
          <w:bCs/>
          <w:lang w:val="en-US"/>
        </w:rPr>
        <w:t xml:space="preserve"> and</w:t>
      </w:r>
      <w:r w:rsidR="00FF65F2" w:rsidRPr="00BC658B">
        <w:rPr>
          <w:bCs/>
          <w:lang w:val="en-US"/>
        </w:rPr>
        <w:t xml:space="preserve"> </w:t>
      </w:r>
      <w:r w:rsidR="00263114" w:rsidRPr="0008597B">
        <w:t xml:space="preserve">consists of a </w:t>
      </w:r>
      <w:r w:rsidR="00305618" w:rsidRPr="0008597B">
        <w:t>six</w:t>
      </w:r>
      <w:r w:rsidR="00263114" w:rsidRPr="0008597B">
        <w:t>-</w:t>
      </w:r>
      <w:r w:rsidR="00305618" w:rsidRPr="0008597B">
        <w:t>year</w:t>
      </w:r>
      <w:r w:rsidR="00263114" w:rsidRPr="0008597B">
        <w:t xml:space="preserve"> calendar</w:t>
      </w:r>
      <w:r w:rsidR="00305618" w:rsidRPr="0008597B">
        <w:t xml:space="preserve">, with one year dedicated to each </w:t>
      </w:r>
      <w:r w:rsidR="00263114" w:rsidRPr="0008597B">
        <w:t>E</w:t>
      </w:r>
      <w:r w:rsidR="00305618" w:rsidRPr="0008597B">
        <w:t xml:space="preserve">lectoral </w:t>
      </w:r>
      <w:r w:rsidR="00263114" w:rsidRPr="0008597B">
        <w:t>G</w:t>
      </w:r>
      <w:r w:rsidR="00305618" w:rsidRPr="0008597B">
        <w:t>roup of UNESCO</w:t>
      </w:r>
      <w:r w:rsidR="00263114" w:rsidRPr="0008597B">
        <w:t xml:space="preserve"> as defined in the groupings of Member States for the purpose of elections to the Executive Board</w:t>
      </w:r>
      <w:r w:rsidR="00263114" w:rsidRPr="00311348">
        <w:rPr>
          <w:rStyle w:val="FootnoteReference"/>
        </w:rPr>
        <w:footnoteReference w:id="1"/>
      </w:r>
      <w:r w:rsidR="003E09E4">
        <w:t xml:space="preserve"> (it being understood that ‘Electoral Group V’ shall consist of two separate groups for the African States and the Arab States respectively)</w:t>
      </w:r>
      <w:r w:rsidR="00305618" w:rsidRPr="00311348">
        <w:t>.</w:t>
      </w:r>
      <w:proofErr w:type="gramEnd"/>
      <w:r w:rsidR="00305618" w:rsidRPr="00311348">
        <w:t xml:space="preserve"> </w:t>
      </w:r>
      <w:r w:rsidR="00263114" w:rsidRPr="00311348">
        <w:t>In this scenario</w:t>
      </w:r>
      <w:r w:rsidR="00263114" w:rsidRPr="0008597B">
        <w:t>, t</w:t>
      </w:r>
      <w:r w:rsidR="00305618" w:rsidRPr="0008597B">
        <w:t xml:space="preserve">he cycle would start with actions undertaken in 2020 in the first </w:t>
      </w:r>
      <w:r w:rsidR="00263114" w:rsidRPr="0008597B">
        <w:t>Electoral Group</w:t>
      </w:r>
      <w:r w:rsidR="00305618" w:rsidRPr="0008597B">
        <w:t xml:space="preserve">. Progress in that </w:t>
      </w:r>
      <w:r w:rsidR="00263114" w:rsidRPr="0008597B">
        <w:t xml:space="preserve">Electoral Group </w:t>
      </w:r>
      <w:proofErr w:type="gramStart"/>
      <w:r w:rsidR="00305618" w:rsidRPr="0008597B">
        <w:t>would be presented</w:t>
      </w:r>
      <w:proofErr w:type="gramEnd"/>
      <w:r w:rsidR="00305618" w:rsidRPr="0008597B">
        <w:t xml:space="preserve"> to the Committee at its fifteenth session at the end of that year. The reports from States Parties in the first </w:t>
      </w:r>
      <w:r w:rsidR="00263114" w:rsidRPr="0008597B">
        <w:t xml:space="preserve">Electoral Group </w:t>
      </w:r>
      <w:r w:rsidR="00305618" w:rsidRPr="0008597B">
        <w:t>w</w:t>
      </w:r>
      <w:r w:rsidR="0005223A">
        <w:t>ould then be due by 15 December </w:t>
      </w:r>
      <w:r w:rsidR="00305618" w:rsidRPr="0008597B">
        <w:t xml:space="preserve">2020 for examination by the Committee at its sixteenth </w:t>
      </w:r>
      <w:r w:rsidR="0005223A">
        <w:t>session in </w:t>
      </w:r>
      <w:r w:rsidR="00305618" w:rsidRPr="0008597B">
        <w:t xml:space="preserve">2021. At the same time, States Parties in the second </w:t>
      </w:r>
      <w:r w:rsidR="00263114" w:rsidRPr="0008597B">
        <w:t xml:space="preserve">Electoral Group </w:t>
      </w:r>
      <w:r w:rsidR="00305618" w:rsidRPr="0008597B">
        <w:t xml:space="preserve">would start preparing their periodic reports in 2021 for their submission by 15 December 2021. A similar process </w:t>
      </w:r>
      <w:proofErr w:type="gramStart"/>
      <w:r w:rsidR="00305618" w:rsidRPr="0008597B">
        <w:t>would be repeated</w:t>
      </w:r>
      <w:proofErr w:type="gramEnd"/>
      <w:r w:rsidR="00305618" w:rsidRPr="0008597B">
        <w:t xml:space="preserve"> for the rest of the </w:t>
      </w:r>
      <w:r w:rsidR="00263114" w:rsidRPr="0008597B">
        <w:t>E</w:t>
      </w:r>
      <w:r w:rsidR="00FF65F2" w:rsidRPr="0008597B">
        <w:t xml:space="preserve">lectoral </w:t>
      </w:r>
      <w:r w:rsidR="00263114" w:rsidRPr="0008597B">
        <w:t>G</w:t>
      </w:r>
      <w:r w:rsidR="00FF65F2" w:rsidRPr="0008597B">
        <w:t>roups</w:t>
      </w:r>
      <w:r w:rsidR="00305618" w:rsidRPr="0008597B">
        <w:t xml:space="preserve"> until the Committee </w:t>
      </w:r>
      <w:r w:rsidR="006112CC" w:rsidRPr="0008597B">
        <w:t>ha</w:t>
      </w:r>
      <w:r w:rsidR="006112CC">
        <w:t>d</w:t>
      </w:r>
      <w:r w:rsidR="006112CC" w:rsidRPr="0008597B">
        <w:t xml:space="preserve"> </w:t>
      </w:r>
      <w:r w:rsidR="00305618" w:rsidRPr="0008597B">
        <w:t xml:space="preserve">finished examining the reports from all </w:t>
      </w:r>
      <w:r w:rsidR="004E2752" w:rsidRPr="0008597B">
        <w:t xml:space="preserve">six Electoral Groups </w:t>
      </w:r>
      <w:r w:rsidR="00305618" w:rsidRPr="0008597B">
        <w:t>in</w:t>
      </w:r>
      <w:r w:rsidR="0005223A">
        <w:t> </w:t>
      </w:r>
      <w:r w:rsidR="00305618" w:rsidRPr="0008597B">
        <w:t xml:space="preserve">2026. The second cycle could then start </w:t>
      </w:r>
      <w:r w:rsidR="00FF65F2" w:rsidRPr="0008597B">
        <w:t xml:space="preserve">immediately </w:t>
      </w:r>
      <w:r w:rsidR="00305618" w:rsidRPr="0008597B">
        <w:t>in</w:t>
      </w:r>
      <w:r w:rsidR="0005223A">
        <w:t> </w:t>
      </w:r>
      <w:r w:rsidR="00305618" w:rsidRPr="0008597B">
        <w:t>2027.</w:t>
      </w:r>
    </w:p>
    <w:p w14:paraId="29F8A36F" w14:textId="59F2ABEE" w:rsidR="00285A2D" w:rsidRPr="008561AD" w:rsidRDefault="00151381" w:rsidP="008561AD">
      <w:pPr>
        <w:pStyle w:val="COMPara"/>
        <w:numPr>
          <w:ilvl w:val="0"/>
          <w:numId w:val="13"/>
        </w:numPr>
        <w:spacing w:before="120"/>
        <w:ind w:left="567" w:hanging="567"/>
        <w:jc w:val="both"/>
      </w:pPr>
      <w:r>
        <w:t>Another</w:t>
      </w:r>
      <w:r w:rsidR="00263114" w:rsidRPr="0008597B">
        <w:t xml:space="preserve"> option </w:t>
      </w:r>
      <w:proofErr w:type="gramStart"/>
      <w:r w:rsidR="00B464CF">
        <w:t>was</w:t>
      </w:r>
      <w:r w:rsidR="00263114" w:rsidRPr="0008597B">
        <w:t xml:space="preserve"> suggested</w:t>
      </w:r>
      <w:proofErr w:type="gramEnd"/>
      <w:r w:rsidR="00263114" w:rsidRPr="0008597B">
        <w:t xml:space="preserve"> d</w:t>
      </w:r>
      <w:r w:rsidR="00DB42C3" w:rsidRPr="0008597B">
        <w:t>uring the general debate on the revision of the Operational Directives on periodic reporting at the twelfth session of the Committee in 2017</w:t>
      </w:r>
      <w:r w:rsidR="00263114" w:rsidRPr="0008597B">
        <w:t xml:space="preserve">. It originates from </w:t>
      </w:r>
      <w:r w:rsidR="00DB42C3" w:rsidRPr="0008597B">
        <w:t>the difference</w:t>
      </w:r>
      <w:r>
        <w:t>s</w:t>
      </w:r>
      <w:r w:rsidR="00DB42C3" w:rsidRPr="0008597B">
        <w:t xml:space="preserve"> between the terms ‘region’ and ‘</w:t>
      </w:r>
      <w:r w:rsidR="00263114" w:rsidRPr="0008597B">
        <w:t>E</w:t>
      </w:r>
      <w:r w:rsidR="00DB42C3" w:rsidRPr="0008597B">
        <w:t xml:space="preserve">lectoral </w:t>
      </w:r>
      <w:r w:rsidR="00263114" w:rsidRPr="0008597B">
        <w:t>G</w:t>
      </w:r>
      <w:r w:rsidR="00DB42C3" w:rsidRPr="0008597B">
        <w:t xml:space="preserve">roup’. </w:t>
      </w:r>
      <w:r w:rsidR="00263114" w:rsidRPr="0008597B">
        <w:t>This difference between the two concepts has an important impact on the calendar that</w:t>
      </w:r>
      <w:r w:rsidR="00A53AE0">
        <w:t xml:space="preserve"> needs</w:t>
      </w:r>
      <w:r w:rsidR="00263114" w:rsidRPr="0008597B">
        <w:t xml:space="preserve"> to be established </w:t>
      </w:r>
      <w:r w:rsidR="00263114">
        <w:t>and</w:t>
      </w:r>
      <w:r w:rsidR="00263114" w:rsidRPr="008561AD">
        <w:t xml:space="preserve"> </w:t>
      </w:r>
      <w:r w:rsidR="00263114">
        <w:t>a</w:t>
      </w:r>
      <w:r w:rsidR="00DB42C3">
        <w:t xml:space="preserve"> clear decision on this </w:t>
      </w:r>
      <w:proofErr w:type="gramStart"/>
      <w:r w:rsidR="00DB42C3">
        <w:t>is need</w:t>
      </w:r>
      <w:r w:rsidR="00D81384">
        <w:t>ed</w:t>
      </w:r>
      <w:proofErr w:type="gramEnd"/>
      <w:r w:rsidR="00DB42C3">
        <w:t xml:space="preserve"> in order for States Parties to know exactly when they will have to report. </w:t>
      </w:r>
      <w:r w:rsidR="00263114">
        <w:t xml:space="preserve">The second option would be </w:t>
      </w:r>
      <w:r w:rsidR="008E1B34">
        <w:t xml:space="preserve">to follow the same </w:t>
      </w:r>
      <w:r w:rsidR="005B3ABA">
        <w:t xml:space="preserve">regional </w:t>
      </w:r>
      <w:r w:rsidR="00D826B5">
        <w:t xml:space="preserve">cycle of </w:t>
      </w:r>
      <w:r w:rsidR="005B3ABA">
        <w:t xml:space="preserve">reporting currently </w:t>
      </w:r>
      <w:proofErr w:type="gramStart"/>
      <w:r w:rsidR="005B3ABA">
        <w:lastRenderedPageBreak/>
        <w:t>being followed</w:t>
      </w:r>
      <w:proofErr w:type="gramEnd"/>
      <w:r w:rsidR="005B3ABA">
        <w:t xml:space="preserve"> by the </w:t>
      </w:r>
      <w:r w:rsidR="00E2250E">
        <w:t>1972 </w:t>
      </w:r>
      <w:r w:rsidR="0054676D">
        <w:t xml:space="preserve">Convention </w:t>
      </w:r>
      <w:r w:rsidR="00DB42C3" w:rsidRPr="008561AD">
        <w:rPr>
          <w:bCs/>
          <w:lang w:val="en-US"/>
        </w:rPr>
        <w:t>Concerning</w:t>
      </w:r>
      <w:r w:rsidR="00DB42C3" w:rsidRPr="00D81384">
        <w:rPr>
          <w:bCs/>
          <w:lang w:val="en-US"/>
        </w:rPr>
        <w:t xml:space="preserve"> </w:t>
      </w:r>
      <w:r w:rsidR="00DB42C3" w:rsidRPr="008561AD">
        <w:rPr>
          <w:bCs/>
          <w:lang w:val="en-US"/>
        </w:rPr>
        <w:t>the Protection of the World Cultural and Natural Heritage</w:t>
      </w:r>
      <w:r w:rsidR="000945DC">
        <w:t xml:space="preserve">, which </w:t>
      </w:r>
      <w:r w:rsidR="00D81384">
        <w:t xml:space="preserve">foresees that </w:t>
      </w:r>
      <w:r w:rsidR="00E2250E" w:rsidRPr="00C43656">
        <w:t>Electoral Group</w:t>
      </w:r>
      <w:r w:rsidR="000B3A7B">
        <w:t>s I and II</w:t>
      </w:r>
      <w:r w:rsidR="00E2250E">
        <w:t xml:space="preserve"> report together in the same year</w:t>
      </w:r>
      <w:r w:rsidR="008E1B34">
        <w:t xml:space="preserve"> </w:t>
      </w:r>
      <w:r w:rsidR="004E2752">
        <w:t>under the region ‘Europe’</w:t>
      </w:r>
      <w:r w:rsidR="000945DC">
        <w:t>. Accordingly</w:t>
      </w:r>
      <w:r w:rsidR="00A0724D">
        <w:t>,</w:t>
      </w:r>
      <w:r w:rsidR="008E1B34">
        <w:t xml:space="preserve"> </w:t>
      </w:r>
      <w:r w:rsidR="00E2250E">
        <w:t xml:space="preserve">five reporting </w:t>
      </w:r>
      <w:r w:rsidR="00D81384">
        <w:t xml:space="preserve">regions </w:t>
      </w:r>
      <w:proofErr w:type="gramStart"/>
      <w:r w:rsidR="00920819">
        <w:t xml:space="preserve">are </w:t>
      </w:r>
      <w:r w:rsidR="00D81384">
        <w:t>identified</w:t>
      </w:r>
      <w:proofErr w:type="gramEnd"/>
      <w:r w:rsidR="000945DC">
        <w:t xml:space="preserve"> and they are </w:t>
      </w:r>
      <w:r w:rsidR="00920819">
        <w:t>align</w:t>
      </w:r>
      <w:r w:rsidR="004E2752">
        <w:t>ed</w:t>
      </w:r>
      <w:r w:rsidR="008B67DD">
        <w:t xml:space="preserve"> with the </w:t>
      </w:r>
      <w:r w:rsidR="004E2752">
        <w:t>d</w:t>
      </w:r>
      <w:r w:rsidR="00E2250E">
        <w:t xml:space="preserve">efinition of regions </w:t>
      </w:r>
      <w:r w:rsidR="004E2752">
        <w:t>with a view to the execution of regional activities</w:t>
      </w:r>
      <w:r w:rsidR="006112CC">
        <w:t>, as</w:t>
      </w:r>
      <w:r w:rsidR="004E2752">
        <w:t xml:space="preserve"> included </w:t>
      </w:r>
      <w:r w:rsidR="00285A2D">
        <w:t xml:space="preserve">in the </w:t>
      </w:r>
      <w:r w:rsidR="004E2752">
        <w:t xml:space="preserve">UNESCO </w:t>
      </w:r>
      <w:r w:rsidR="00DA4F7F">
        <w:t>B</w:t>
      </w:r>
      <w:r w:rsidR="00285A2D">
        <w:t xml:space="preserve">asic </w:t>
      </w:r>
      <w:r w:rsidR="00DA4F7F">
        <w:t>T</w:t>
      </w:r>
      <w:r w:rsidR="00285A2D">
        <w:t>ext</w:t>
      </w:r>
      <w:r w:rsidR="004E2752">
        <w:t>s</w:t>
      </w:r>
      <w:r w:rsidR="004E2752">
        <w:rPr>
          <w:rStyle w:val="FootnoteReference"/>
        </w:rPr>
        <w:footnoteReference w:id="2"/>
      </w:r>
      <w:r w:rsidR="004E2752">
        <w:t>.</w:t>
      </w:r>
      <w:bookmarkEnd w:id="1"/>
    </w:p>
    <w:p w14:paraId="738CE8C9" w14:textId="3780914F" w:rsidR="0054676D" w:rsidRDefault="0054676D" w:rsidP="00FB382A">
      <w:pPr>
        <w:pStyle w:val="COMPara"/>
        <w:numPr>
          <w:ilvl w:val="0"/>
          <w:numId w:val="13"/>
        </w:numPr>
        <w:spacing w:before="120"/>
        <w:ind w:left="567" w:hanging="567"/>
        <w:jc w:val="both"/>
      </w:pPr>
      <w:r>
        <w:t>Taking into consideration the above scenario</w:t>
      </w:r>
      <w:r w:rsidR="004E2752">
        <w:t>s</w:t>
      </w:r>
      <w:r>
        <w:t xml:space="preserve">, the Committee </w:t>
      </w:r>
      <w:r w:rsidR="00151381">
        <w:t xml:space="preserve">may </w:t>
      </w:r>
      <w:r w:rsidR="00445C5A">
        <w:t>choose one of the</w:t>
      </w:r>
      <w:r w:rsidR="00E518C5">
        <w:t xml:space="preserve"> following</w:t>
      </w:r>
      <w:r w:rsidR="004E2425">
        <w:t xml:space="preserve"> options</w:t>
      </w:r>
      <w:r>
        <w:t>:</w:t>
      </w:r>
    </w:p>
    <w:p w14:paraId="36FC41A2" w14:textId="76E63C49" w:rsidR="000B3A7B" w:rsidRPr="007316E4" w:rsidRDefault="00A13708" w:rsidP="00215F45">
      <w:pPr>
        <w:pStyle w:val="COMPara"/>
        <w:numPr>
          <w:ilvl w:val="0"/>
          <w:numId w:val="35"/>
        </w:numPr>
        <w:spacing w:before="120"/>
        <w:ind w:left="1134" w:hanging="567"/>
        <w:jc w:val="both"/>
      </w:pPr>
      <w:r>
        <w:t xml:space="preserve">Following </w:t>
      </w:r>
      <w:r w:rsidR="004E2752">
        <w:t xml:space="preserve">a six-year calendar with </w:t>
      </w:r>
      <w:r>
        <w:t xml:space="preserve">the </w:t>
      </w:r>
      <w:r w:rsidR="004E2752">
        <w:t xml:space="preserve">Electoral Group </w:t>
      </w:r>
      <w:r>
        <w:t xml:space="preserve">structure based on the definition provided in the </w:t>
      </w:r>
      <w:r w:rsidR="00E447D3">
        <w:t>Rules of Procedure of the General Conference,</w:t>
      </w:r>
      <w:r w:rsidR="00D66BAA">
        <w:t xml:space="preserve"> dedicating</w:t>
      </w:r>
      <w:r w:rsidR="00E447D3">
        <w:t xml:space="preserve"> </w:t>
      </w:r>
      <w:r w:rsidR="00D87CCC">
        <w:t xml:space="preserve">each year </w:t>
      </w:r>
      <w:r w:rsidR="004E2752">
        <w:t>to a</w:t>
      </w:r>
      <w:r w:rsidR="00E518C5">
        <w:t xml:space="preserve"> specific</w:t>
      </w:r>
      <w:r w:rsidR="004E2752">
        <w:t xml:space="preserve"> </w:t>
      </w:r>
      <w:r w:rsidR="00E447D3">
        <w:t>Electoral Group</w:t>
      </w:r>
      <w:r w:rsidR="00820D41">
        <w:t xml:space="preserve"> </w:t>
      </w:r>
      <w:r w:rsidR="00820D41" w:rsidRPr="007316E4">
        <w:t>(</w:t>
      </w:r>
      <w:r w:rsidR="00E461BB">
        <w:t>A</w:t>
      </w:r>
      <w:r w:rsidR="00820D41" w:rsidRPr="007316E4">
        <w:t>nnex I)</w:t>
      </w:r>
      <w:r w:rsidR="00E447D3" w:rsidRPr="007316E4">
        <w:t>.</w:t>
      </w:r>
    </w:p>
    <w:p w14:paraId="60450E6C" w14:textId="79A3AFD5" w:rsidR="004E2752" w:rsidRDefault="004E2752" w:rsidP="00215F45">
      <w:pPr>
        <w:pStyle w:val="COMPara"/>
        <w:numPr>
          <w:ilvl w:val="0"/>
          <w:numId w:val="35"/>
        </w:numPr>
        <w:spacing w:before="120"/>
        <w:ind w:left="1134" w:hanging="567"/>
        <w:jc w:val="both"/>
      </w:pPr>
      <w:r>
        <w:t xml:space="preserve">Following a six-year calendar based on the reporting structure of the 1972 World Heritage Convention </w:t>
      </w:r>
      <w:r w:rsidR="0008597B">
        <w:t xml:space="preserve">with </w:t>
      </w:r>
      <w:r>
        <w:t>Electoral Groups I and II report</w:t>
      </w:r>
      <w:r w:rsidR="0008597B">
        <w:t>ing</w:t>
      </w:r>
      <w:r>
        <w:t xml:space="preserve"> together</w:t>
      </w:r>
      <w:r w:rsidR="00D66BAA">
        <w:t>,</w:t>
      </w:r>
      <w:r>
        <w:t xml:space="preserve"> result</w:t>
      </w:r>
      <w:r w:rsidR="00D66BAA">
        <w:t>ing</w:t>
      </w:r>
      <w:r>
        <w:t xml:space="preserve"> in five regional </w:t>
      </w:r>
      <w:r w:rsidRPr="007316E4">
        <w:t>groups (</w:t>
      </w:r>
      <w:r w:rsidR="00E461BB">
        <w:t>A</w:t>
      </w:r>
      <w:r w:rsidRPr="007316E4">
        <w:t>nnex I</w:t>
      </w:r>
      <w:r w:rsidR="00820D41" w:rsidRPr="007316E4">
        <w:t>I</w:t>
      </w:r>
      <w:r w:rsidRPr="007316E4">
        <w:t>) that</w:t>
      </w:r>
      <w:r>
        <w:t xml:space="preserve"> would report </w:t>
      </w:r>
      <w:r w:rsidR="00D66BAA">
        <w:t>over</w:t>
      </w:r>
      <w:r>
        <w:t xml:space="preserve"> five consecutive years. The sixth</w:t>
      </w:r>
      <w:r w:rsidR="0008597B">
        <w:t xml:space="preserve"> </w:t>
      </w:r>
      <w:r>
        <w:t xml:space="preserve">year </w:t>
      </w:r>
      <w:proofErr w:type="gramStart"/>
      <w:r w:rsidR="00D66BAA">
        <w:t xml:space="preserve">could </w:t>
      </w:r>
      <w:r>
        <w:t xml:space="preserve">be </w:t>
      </w:r>
      <w:r w:rsidR="007316E4">
        <w:t>used</w:t>
      </w:r>
      <w:proofErr w:type="gramEnd"/>
      <w:r w:rsidR="007316E4">
        <w:t xml:space="preserve"> as a reflection year </w:t>
      </w:r>
      <w:r>
        <w:t>dedicated to the evaluation of the periodic reporting mechanism</w:t>
      </w:r>
      <w:r w:rsidR="00D66BAA">
        <w:t xml:space="preserve">; </w:t>
      </w:r>
      <w:r w:rsidR="00E518C5">
        <w:t xml:space="preserve">this </w:t>
      </w:r>
      <w:r w:rsidR="00D66BAA">
        <w:t>pause in the overall cycle would</w:t>
      </w:r>
      <w:r>
        <w:t xml:space="preserve"> allow</w:t>
      </w:r>
      <w:r w:rsidR="00E518C5">
        <w:t xml:space="preserve"> the</w:t>
      </w:r>
      <w:r>
        <w:t xml:space="preserve"> time necessary for revisions</w:t>
      </w:r>
      <w:r w:rsidR="007316E4">
        <w:t>, if needed,</w:t>
      </w:r>
      <w:r>
        <w:t xml:space="preserve"> before the initiation of </w:t>
      </w:r>
      <w:r w:rsidR="0008597B">
        <w:t>a</w:t>
      </w:r>
      <w:r>
        <w:t xml:space="preserve"> new </w:t>
      </w:r>
      <w:r w:rsidR="00820D41">
        <w:t xml:space="preserve">six-year </w:t>
      </w:r>
      <w:r>
        <w:t>reporting cycle.</w:t>
      </w:r>
    </w:p>
    <w:p w14:paraId="486BA2F8" w14:textId="3D999FA1" w:rsidR="007F6E51" w:rsidRDefault="000323EF" w:rsidP="00B5341A">
      <w:pPr>
        <w:pStyle w:val="COMPara"/>
        <w:numPr>
          <w:ilvl w:val="0"/>
          <w:numId w:val="13"/>
        </w:numPr>
        <w:spacing w:before="120"/>
        <w:ind w:left="567" w:hanging="567"/>
        <w:jc w:val="both"/>
      </w:pPr>
      <w:r>
        <w:t>Additionally,</w:t>
      </w:r>
      <w:r w:rsidR="0008597B">
        <w:t xml:space="preserve"> the Committee will have to decide on the specific order</w:t>
      </w:r>
      <w:r>
        <w:t xml:space="preserve">, </w:t>
      </w:r>
      <w:r w:rsidR="00CA487E">
        <w:t xml:space="preserve">be it </w:t>
      </w:r>
      <w:r w:rsidR="00AC75D2">
        <w:t xml:space="preserve">among </w:t>
      </w:r>
      <w:r w:rsidR="00CA487E">
        <w:t xml:space="preserve">the regions or </w:t>
      </w:r>
      <w:r w:rsidR="00E518C5">
        <w:t xml:space="preserve">the </w:t>
      </w:r>
      <w:r w:rsidR="00CA487E">
        <w:t>Electoral Groups</w:t>
      </w:r>
      <w:r w:rsidR="0008597B">
        <w:t>.</w:t>
      </w:r>
      <w:r w:rsidR="00DA58FD">
        <w:t xml:space="preserve"> </w:t>
      </w:r>
      <w:proofErr w:type="gramStart"/>
      <w:r w:rsidR="00AC75D2">
        <w:t xml:space="preserve">Given that </w:t>
      </w:r>
      <w:r w:rsidR="00DA58FD">
        <w:t xml:space="preserve">the 1972 World Heritage Convention </w:t>
      </w:r>
      <w:r w:rsidR="006F3E70">
        <w:t>follows</w:t>
      </w:r>
      <w:r w:rsidR="00DA58FD">
        <w:t xml:space="preserve"> a similar reporting mechanism</w:t>
      </w:r>
      <w:r w:rsidR="00AC75D2">
        <w:t>,</w:t>
      </w:r>
      <w:r w:rsidR="00DA58FD">
        <w:t xml:space="preserve"> it would be beneficial </w:t>
      </w:r>
      <w:r w:rsidR="00AC75D2">
        <w:t xml:space="preserve">to avoid a situation </w:t>
      </w:r>
      <w:r w:rsidR="00E518C5">
        <w:t>in which</w:t>
      </w:r>
      <w:r w:rsidR="00AC75D2">
        <w:t xml:space="preserve"> a given region/Electoral Group </w:t>
      </w:r>
      <w:r w:rsidR="00E518C5">
        <w:t>has</w:t>
      </w:r>
      <w:r w:rsidR="00AC75D2">
        <w:t xml:space="preserve"> to report to both </w:t>
      </w:r>
      <w:r w:rsidR="006112CC">
        <w:t>C</w:t>
      </w:r>
      <w:r w:rsidR="00AC75D2">
        <w:t xml:space="preserve">onventions at the same time; the ideal situation </w:t>
      </w:r>
      <w:r w:rsidR="00E518C5">
        <w:t>would be</w:t>
      </w:r>
      <w:r w:rsidR="00AC75D2">
        <w:t xml:space="preserve"> to space out the timing of </w:t>
      </w:r>
      <w:r w:rsidR="00E518C5">
        <w:t xml:space="preserve">the </w:t>
      </w:r>
      <w:r w:rsidR="00AC75D2">
        <w:t>reporting period by</w:t>
      </w:r>
      <w:r w:rsidR="00DA58FD">
        <w:t xml:space="preserve"> two </w:t>
      </w:r>
      <w:r w:rsidR="00AC75D2">
        <w:t>or</w:t>
      </w:r>
      <w:r w:rsidR="00820D41">
        <w:t xml:space="preserve"> three </w:t>
      </w:r>
      <w:r w:rsidR="00DA58FD">
        <w:t>years for each of the Convention</w:t>
      </w:r>
      <w:r w:rsidR="00E518C5">
        <w:t>s</w:t>
      </w:r>
      <w:r w:rsidR="00DA58FD">
        <w:t>.</w:t>
      </w:r>
      <w:proofErr w:type="gramEnd"/>
      <w:r w:rsidR="00DA58FD">
        <w:t xml:space="preserve"> This would </w:t>
      </w:r>
      <w:r w:rsidR="0098792A">
        <w:t xml:space="preserve">allow </w:t>
      </w:r>
      <w:r w:rsidR="00DA58FD">
        <w:t xml:space="preserve">States </w:t>
      </w:r>
      <w:r w:rsidR="00E518C5">
        <w:t xml:space="preserve">Parties </w:t>
      </w:r>
      <w:r w:rsidR="00DA58FD">
        <w:t xml:space="preserve">to both </w:t>
      </w:r>
      <w:r w:rsidR="00AC75D2">
        <w:t xml:space="preserve">of </w:t>
      </w:r>
      <w:r w:rsidR="00DA58FD">
        <w:t>the Convention</w:t>
      </w:r>
      <w:r w:rsidR="00820D41">
        <w:t>s</w:t>
      </w:r>
      <w:r w:rsidR="00DA58FD">
        <w:t xml:space="preserve"> to </w:t>
      </w:r>
      <w:r w:rsidR="00E518C5">
        <w:t xml:space="preserve">avoid </w:t>
      </w:r>
      <w:r w:rsidR="00DA58FD">
        <w:t>be</w:t>
      </w:r>
      <w:r w:rsidR="00E518C5">
        <w:t>ing</w:t>
      </w:r>
      <w:r w:rsidR="00DA58FD">
        <w:t xml:space="preserve"> </w:t>
      </w:r>
      <w:r w:rsidR="0098792A">
        <w:t>over</w:t>
      </w:r>
      <w:r w:rsidR="0098792A">
        <w:noBreakHyphen/>
        <w:t>burdened</w:t>
      </w:r>
      <w:r w:rsidR="00DA58FD">
        <w:t xml:space="preserve"> </w:t>
      </w:r>
      <w:r w:rsidR="0098792A">
        <w:t>and con</w:t>
      </w:r>
      <w:r w:rsidR="00D4220E">
        <w:t xml:space="preserve">strained in </w:t>
      </w:r>
      <w:r w:rsidR="00E518C5">
        <w:t xml:space="preserve">terms of </w:t>
      </w:r>
      <w:r w:rsidR="00D4220E">
        <w:t>time and resource</w:t>
      </w:r>
      <w:r w:rsidR="0008597B">
        <w:t>s</w:t>
      </w:r>
      <w:r w:rsidR="00D4220E">
        <w:t xml:space="preserve"> while</w:t>
      </w:r>
      <w:r w:rsidR="0098792A">
        <w:t xml:space="preserve"> </w:t>
      </w:r>
      <w:r w:rsidR="00AC75D2">
        <w:t xml:space="preserve">meeting their </w:t>
      </w:r>
      <w:r w:rsidR="0098792A">
        <w:t xml:space="preserve">reporting </w:t>
      </w:r>
      <w:r w:rsidR="00AC75D2">
        <w:t>obligations</w:t>
      </w:r>
      <w:r w:rsidR="007F6E51">
        <w:t>.</w:t>
      </w:r>
      <w:r w:rsidR="00CE60A2">
        <w:t xml:space="preserve"> </w:t>
      </w:r>
      <w:r w:rsidR="00B5341A">
        <w:t>Applying this consideration</w:t>
      </w:r>
      <w:r w:rsidR="00CE60A2">
        <w:t xml:space="preserve"> </w:t>
      </w:r>
      <w:r w:rsidR="00B5341A">
        <w:t xml:space="preserve">based on the options </w:t>
      </w:r>
      <w:r w:rsidR="006F0FE4">
        <w:t xml:space="preserve">described </w:t>
      </w:r>
      <w:r w:rsidR="00B5341A">
        <w:t>above</w:t>
      </w:r>
      <w:r w:rsidR="00CE60A2">
        <w:t xml:space="preserve">, the following two </w:t>
      </w:r>
      <w:r w:rsidR="0008597B">
        <w:t xml:space="preserve">rotational </w:t>
      </w:r>
      <w:r w:rsidR="007F6E51">
        <w:t>sequence</w:t>
      </w:r>
      <w:r w:rsidR="0008597B">
        <w:t>s</w:t>
      </w:r>
      <w:r w:rsidR="007F6E51">
        <w:t xml:space="preserve"> </w:t>
      </w:r>
      <w:r w:rsidR="00CE60A2">
        <w:t>are possible</w:t>
      </w:r>
      <w:r w:rsidR="00CC29CC">
        <w:t>:</w:t>
      </w:r>
    </w:p>
    <w:p w14:paraId="6AC447EF" w14:textId="0861D0D5" w:rsidR="007F6E51" w:rsidRPr="00486594" w:rsidRDefault="0008597B" w:rsidP="007316E4">
      <w:pPr>
        <w:pStyle w:val="COMPara"/>
        <w:numPr>
          <w:ilvl w:val="0"/>
          <w:numId w:val="0"/>
        </w:numPr>
        <w:spacing w:before="240"/>
        <w:ind w:left="567"/>
        <w:rPr>
          <w:b/>
        </w:rPr>
      </w:pPr>
      <w:r>
        <w:rPr>
          <w:b/>
        </w:rPr>
        <w:t>Option</w:t>
      </w:r>
      <w:r w:rsidRPr="00486594">
        <w:rPr>
          <w:b/>
        </w:rPr>
        <w:t xml:space="preserve"> </w:t>
      </w:r>
      <w:r w:rsidR="007F6E51" w:rsidRPr="00486594">
        <w:rPr>
          <w:b/>
        </w:rPr>
        <w:t>I</w:t>
      </w:r>
    </w:p>
    <w:p w14:paraId="07089523" w14:textId="6C9761D1" w:rsidR="00486594" w:rsidRDefault="00486594" w:rsidP="00735F2C">
      <w:pPr>
        <w:pStyle w:val="COMPara"/>
        <w:numPr>
          <w:ilvl w:val="0"/>
          <w:numId w:val="21"/>
        </w:numPr>
        <w:spacing w:before="120"/>
        <w:ind w:left="1134" w:hanging="567"/>
        <w:jc w:val="both"/>
      </w:pPr>
      <w:r>
        <w:t xml:space="preserve">2020: </w:t>
      </w:r>
      <w:r w:rsidR="00445C5A">
        <w:t xml:space="preserve">Electoral </w:t>
      </w:r>
      <w:r w:rsidR="00311348">
        <w:t>Group III (</w:t>
      </w:r>
      <w:r>
        <w:t>Latin America and the Caribbean</w:t>
      </w:r>
      <w:r w:rsidR="00311348">
        <w:t>)</w:t>
      </w:r>
    </w:p>
    <w:p w14:paraId="6F4E162F" w14:textId="32D9CA77" w:rsidR="00486594" w:rsidRDefault="00486594" w:rsidP="00735F2C">
      <w:pPr>
        <w:pStyle w:val="COMPara"/>
        <w:numPr>
          <w:ilvl w:val="0"/>
          <w:numId w:val="21"/>
        </w:numPr>
        <w:spacing w:before="120"/>
        <w:ind w:left="1134" w:hanging="567"/>
        <w:jc w:val="both"/>
      </w:pPr>
      <w:r>
        <w:t xml:space="preserve">2021: </w:t>
      </w:r>
      <w:r w:rsidR="00445C5A">
        <w:t xml:space="preserve">Electoral </w:t>
      </w:r>
      <w:r>
        <w:t>Group I</w:t>
      </w:r>
      <w:r w:rsidR="00311348">
        <w:t xml:space="preserve"> (North America and Western Europe)</w:t>
      </w:r>
    </w:p>
    <w:p w14:paraId="21B60B4D" w14:textId="255748AE" w:rsidR="00486594" w:rsidRDefault="00486594" w:rsidP="00735F2C">
      <w:pPr>
        <w:pStyle w:val="COMPara"/>
        <w:numPr>
          <w:ilvl w:val="0"/>
          <w:numId w:val="21"/>
        </w:numPr>
        <w:spacing w:before="120"/>
        <w:ind w:left="1134" w:hanging="567"/>
        <w:jc w:val="both"/>
      </w:pPr>
      <w:r>
        <w:t xml:space="preserve">2022: </w:t>
      </w:r>
      <w:r w:rsidR="00445C5A">
        <w:t xml:space="preserve">Electoral </w:t>
      </w:r>
      <w:r w:rsidR="00311348">
        <w:t>Group V(b) (</w:t>
      </w:r>
      <w:r>
        <w:t>Arab States</w:t>
      </w:r>
      <w:r w:rsidR="00311348">
        <w:t>)</w:t>
      </w:r>
    </w:p>
    <w:p w14:paraId="5FDC571F" w14:textId="42AB5E65" w:rsidR="00486594" w:rsidRDefault="00486594" w:rsidP="00735F2C">
      <w:pPr>
        <w:pStyle w:val="COMPara"/>
        <w:numPr>
          <w:ilvl w:val="0"/>
          <w:numId w:val="21"/>
        </w:numPr>
        <w:spacing w:before="120"/>
        <w:ind w:left="1134" w:hanging="567"/>
        <w:jc w:val="both"/>
      </w:pPr>
      <w:r>
        <w:t xml:space="preserve">2023: </w:t>
      </w:r>
      <w:r w:rsidR="00445C5A">
        <w:t xml:space="preserve">Electoral </w:t>
      </w:r>
      <w:r w:rsidR="00311348">
        <w:t>Group V(a) (</w:t>
      </w:r>
      <w:r>
        <w:t>Africa</w:t>
      </w:r>
      <w:r w:rsidR="00311348">
        <w:t>)</w:t>
      </w:r>
    </w:p>
    <w:p w14:paraId="23072B69" w14:textId="11DC703F" w:rsidR="00486594" w:rsidRDefault="00486594" w:rsidP="00735F2C">
      <w:pPr>
        <w:pStyle w:val="COMPara"/>
        <w:numPr>
          <w:ilvl w:val="0"/>
          <w:numId w:val="21"/>
        </w:numPr>
        <w:spacing w:before="120"/>
        <w:ind w:left="1134" w:hanging="567"/>
        <w:jc w:val="both"/>
      </w:pPr>
      <w:r>
        <w:t xml:space="preserve">2024: </w:t>
      </w:r>
      <w:r w:rsidR="00445C5A">
        <w:t xml:space="preserve">Electoral </w:t>
      </w:r>
      <w:r w:rsidR="00311348">
        <w:t>Group IV (</w:t>
      </w:r>
      <w:r>
        <w:t>Asia and the Pacific</w:t>
      </w:r>
      <w:r w:rsidR="00311348">
        <w:t>)</w:t>
      </w:r>
    </w:p>
    <w:p w14:paraId="119CCA09" w14:textId="665E2BC9" w:rsidR="0018130E" w:rsidRDefault="00486594" w:rsidP="00517A25">
      <w:pPr>
        <w:pStyle w:val="COMPara"/>
        <w:numPr>
          <w:ilvl w:val="0"/>
          <w:numId w:val="21"/>
        </w:numPr>
        <w:spacing w:before="120"/>
        <w:ind w:left="1134" w:hanging="567"/>
        <w:jc w:val="both"/>
      </w:pPr>
      <w:r>
        <w:t xml:space="preserve">2025: </w:t>
      </w:r>
      <w:r w:rsidR="00445C5A">
        <w:t xml:space="preserve">Electoral </w:t>
      </w:r>
      <w:r>
        <w:t>Group II</w:t>
      </w:r>
      <w:r w:rsidR="00311348">
        <w:t xml:space="preserve"> (Eastern Europe)</w:t>
      </w:r>
    </w:p>
    <w:tbl>
      <w:tblPr>
        <w:tblW w:w="907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4"/>
        <w:gridCol w:w="2554"/>
        <w:gridCol w:w="2554"/>
      </w:tblGrid>
      <w:tr w:rsidR="00311348" w:rsidRPr="001C4C1A" w14:paraId="33F51877" w14:textId="77777777" w:rsidTr="007316E4">
        <w:trPr>
          <w:trHeight w:val="624"/>
        </w:trPr>
        <w:tc>
          <w:tcPr>
            <w:tcW w:w="3964" w:type="dxa"/>
            <w:shd w:val="clear" w:color="auto" w:fill="auto"/>
            <w:vAlign w:val="center"/>
            <w:hideMark/>
          </w:tcPr>
          <w:p w14:paraId="46FF6CF2" w14:textId="77777777" w:rsidR="00311348" w:rsidRPr="008561AD" w:rsidRDefault="00311348" w:rsidP="0018130E">
            <w:pPr>
              <w:jc w:val="center"/>
              <w:rPr>
                <w:rFonts w:ascii="Arial" w:hAnsi="Arial" w:cs="Arial"/>
                <w:b/>
                <w:sz w:val="22"/>
                <w:szCs w:val="22"/>
                <w:lang w:val="en-US"/>
              </w:rPr>
            </w:pPr>
            <w:r w:rsidRPr="008561AD">
              <w:rPr>
                <w:rFonts w:ascii="Arial" w:hAnsi="Arial" w:cs="Arial"/>
                <w:b/>
                <w:sz w:val="22"/>
                <w:szCs w:val="22"/>
                <w:lang w:val="en-US"/>
              </w:rPr>
              <w:t>Electoral Group</w:t>
            </w:r>
          </w:p>
        </w:tc>
        <w:tc>
          <w:tcPr>
            <w:tcW w:w="2554" w:type="dxa"/>
            <w:shd w:val="clear" w:color="auto" w:fill="auto"/>
            <w:noWrap/>
            <w:vAlign w:val="center"/>
            <w:hideMark/>
          </w:tcPr>
          <w:p w14:paraId="50036A29" w14:textId="4FC2247A" w:rsidR="00311348" w:rsidRPr="008561AD" w:rsidRDefault="00311348">
            <w:pPr>
              <w:jc w:val="center"/>
              <w:rPr>
                <w:rFonts w:ascii="Arial" w:hAnsi="Arial" w:cs="Arial"/>
                <w:b/>
                <w:sz w:val="22"/>
                <w:szCs w:val="22"/>
                <w:lang w:val="en-US"/>
              </w:rPr>
            </w:pPr>
            <w:r w:rsidRPr="008561AD">
              <w:rPr>
                <w:rFonts w:ascii="Arial" w:hAnsi="Arial" w:cs="Arial"/>
                <w:b/>
                <w:sz w:val="22"/>
                <w:szCs w:val="22"/>
                <w:lang w:val="en-US"/>
              </w:rPr>
              <w:t>Year of submission 1972</w:t>
            </w:r>
            <w:r w:rsidR="005740FA">
              <w:rPr>
                <w:rFonts w:ascii="Arial" w:hAnsi="Arial" w:cs="Arial"/>
                <w:b/>
                <w:sz w:val="22"/>
                <w:szCs w:val="22"/>
                <w:lang w:val="en-US"/>
              </w:rPr>
              <w:t> </w:t>
            </w:r>
            <w:r w:rsidRPr="008561AD">
              <w:rPr>
                <w:rFonts w:ascii="Arial" w:hAnsi="Arial" w:cs="Arial"/>
                <w:b/>
                <w:sz w:val="22"/>
                <w:szCs w:val="22"/>
                <w:lang w:val="en-US"/>
              </w:rPr>
              <w:t>Convention</w:t>
            </w:r>
          </w:p>
        </w:tc>
        <w:tc>
          <w:tcPr>
            <w:tcW w:w="2554" w:type="dxa"/>
            <w:vAlign w:val="center"/>
          </w:tcPr>
          <w:p w14:paraId="2E0C9677" w14:textId="193FDB69" w:rsidR="00311348" w:rsidRPr="008561AD" w:rsidRDefault="00311348">
            <w:pPr>
              <w:jc w:val="center"/>
              <w:rPr>
                <w:rFonts w:ascii="Arial" w:hAnsi="Arial" w:cs="Arial"/>
                <w:b/>
                <w:sz w:val="22"/>
                <w:szCs w:val="22"/>
                <w:lang w:val="en-US"/>
              </w:rPr>
            </w:pPr>
            <w:r w:rsidRPr="008561AD">
              <w:rPr>
                <w:rFonts w:ascii="Arial" w:hAnsi="Arial" w:cs="Arial"/>
                <w:b/>
                <w:sz w:val="22"/>
                <w:szCs w:val="22"/>
                <w:lang w:val="en-US"/>
              </w:rPr>
              <w:t>Year of submission 2003</w:t>
            </w:r>
            <w:r w:rsidR="005740FA">
              <w:rPr>
                <w:rFonts w:ascii="Arial" w:hAnsi="Arial" w:cs="Arial"/>
                <w:b/>
                <w:sz w:val="22"/>
                <w:szCs w:val="22"/>
                <w:lang w:val="en-US"/>
              </w:rPr>
              <w:t> </w:t>
            </w:r>
            <w:r w:rsidRPr="008561AD">
              <w:rPr>
                <w:rFonts w:ascii="Arial" w:hAnsi="Arial" w:cs="Arial"/>
                <w:b/>
                <w:sz w:val="22"/>
                <w:szCs w:val="22"/>
                <w:lang w:val="en-US"/>
              </w:rPr>
              <w:t>Convention</w:t>
            </w:r>
          </w:p>
        </w:tc>
      </w:tr>
      <w:tr w:rsidR="00311348" w:rsidRPr="001C4C1A" w14:paraId="6D18FDEB" w14:textId="77777777" w:rsidTr="007316E4">
        <w:trPr>
          <w:trHeight w:val="369"/>
        </w:trPr>
        <w:tc>
          <w:tcPr>
            <w:tcW w:w="3964" w:type="dxa"/>
            <w:shd w:val="clear" w:color="auto" w:fill="auto"/>
            <w:vAlign w:val="center"/>
            <w:hideMark/>
          </w:tcPr>
          <w:p w14:paraId="5CB860C6" w14:textId="2D2D430E" w:rsidR="00311348" w:rsidRPr="008561AD" w:rsidRDefault="00592CEE" w:rsidP="0018130E">
            <w:pPr>
              <w:rPr>
                <w:rFonts w:ascii="Arial" w:hAnsi="Arial" w:cs="Arial"/>
                <w:sz w:val="22"/>
                <w:szCs w:val="22"/>
                <w:lang w:val="en-US"/>
              </w:rPr>
            </w:pPr>
            <w:r>
              <w:rPr>
                <w:rFonts w:ascii="Arial" w:hAnsi="Arial" w:cs="Arial"/>
                <w:sz w:val="22"/>
                <w:szCs w:val="22"/>
                <w:lang w:val="en-US"/>
              </w:rPr>
              <w:t xml:space="preserve">V(b): </w:t>
            </w:r>
            <w:r w:rsidR="00311348" w:rsidRPr="008561AD">
              <w:rPr>
                <w:rFonts w:ascii="Arial" w:hAnsi="Arial" w:cs="Arial"/>
                <w:sz w:val="22"/>
                <w:szCs w:val="22"/>
                <w:lang w:val="en-US"/>
              </w:rPr>
              <w:t>Arab States</w:t>
            </w:r>
          </w:p>
        </w:tc>
        <w:tc>
          <w:tcPr>
            <w:tcW w:w="2554" w:type="dxa"/>
            <w:shd w:val="clear" w:color="auto" w:fill="auto"/>
            <w:noWrap/>
            <w:vAlign w:val="center"/>
            <w:hideMark/>
          </w:tcPr>
          <w:p w14:paraId="28657A13" w14:textId="77777777" w:rsidR="00311348" w:rsidRPr="008561AD" w:rsidRDefault="00311348" w:rsidP="0018130E">
            <w:pPr>
              <w:jc w:val="center"/>
              <w:rPr>
                <w:rFonts w:ascii="Arial" w:hAnsi="Arial" w:cs="Arial"/>
                <w:sz w:val="22"/>
                <w:szCs w:val="22"/>
                <w:lang w:val="en-US"/>
              </w:rPr>
            </w:pPr>
            <w:r w:rsidRPr="008561AD">
              <w:rPr>
                <w:rFonts w:ascii="Arial" w:hAnsi="Arial" w:cs="Arial"/>
                <w:sz w:val="22"/>
                <w:szCs w:val="22"/>
                <w:lang w:val="en-US"/>
              </w:rPr>
              <w:t>2019</w:t>
            </w:r>
          </w:p>
        </w:tc>
        <w:tc>
          <w:tcPr>
            <w:tcW w:w="2554" w:type="dxa"/>
            <w:vAlign w:val="center"/>
          </w:tcPr>
          <w:p w14:paraId="58090531" w14:textId="77777777" w:rsidR="00311348" w:rsidRPr="008561AD" w:rsidRDefault="00311348" w:rsidP="0018130E">
            <w:pPr>
              <w:jc w:val="center"/>
              <w:rPr>
                <w:rFonts w:ascii="Arial" w:hAnsi="Arial" w:cs="Arial"/>
                <w:sz w:val="22"/>
                <w:szCs w:val="22"/>
                <w:lang w:val="en-US"/>
              </w:rPr>
            </w:pPr>
            <w:r w:rsidRPr="008561AD">
              <w:rPr>
                <w:rFonts w:ascii="Arial" w:hAnsi="Arial" w:cs="Arial"/>
                <w:sz w:val="22"/>
                <w:szCs w:val="22"/>
                <w:lang w:val="en-US"/>
              </w:rPr>
              <w:t>2022</w:t>
            </w:r>
          </w:p>
        </w:tc>
      </w:tr>
      <w:tr w:rsidR="00311348" w:rsidRPr="001C4C1A" w14:paraId="1503BC2E" w14:textId="77777777" w:rsidTr="007316E4">
        <w:trPr>
          <w:trHeight w:val="369"/>
        </w:trPr>
        <w:tc>
          <w:tcPr>
            <w:tcW w:w="3964" w:type="dxa"/>
            <w:shd w:val="clear" w:color="auto" w:fill="auto"/>
            <w:vAlign w:val="center"/>
            <w:hideMark/>
          </w:tcPr>
          <w:p w14:paraId="72D20765" w14:textId="2B2CB082" w:rsidR="00311348" w:rsidRPr="008561AD" w:rsidRDefault="00592CEE" w:rsidP="0018130E">
            <w:pPr>
              <w:rPr>
                <w:rFonts w:ascii="Arial" w:hAnsi="Arial" w:cs="Arial"/>
                <w:sz w:val="22"/>
                <w:szCs w:val="22"/>
                <w:lang w:val="en-US"/>
              </w:rPr>
            </w:pPr>
            <w:r>
              <w:rPr>
                <w:rFonts w:ascii="Arial" w:hAnsi="Arial" w:cs="Arial"/>
                <w:sz w:val="22"/>
                <w:szCs w:val="22"/>
                <w:lang w:val="en-US"/>
              </w:rPr>
              <w:t xml:space="preserve">V(a): </w:t>
            </w:r>
            <w:r w:rsidR="00311348" w:rsidRPr="008561AD">
              <w:rPr>
                <w:rFonts w:ascii="Arial" w:hAnsi="Arial" w:cs="Arial"/>
                <w:sz w:val="22"/>
                <w:szCs w:val="22"/>
                <w:lang w:val="en-US"/>
              </w:rPr>
              <w:t>Africa</w:t>
            </w:r>
          </w:p>
        </w:tc>
        <w:tc>
          <w:tcPr>
            <w:tcW w:w="2554" w:type="dxa"/>
            <w:shd w:val="clear" w:color="auto" w:fill="auto"/>
            <w:noWrap/>
            <w:vAlign w:val="center"/>
            <w:hideMark/>
          </w:tcPr>
          <w:p w14:paraId="7E72A499" w14:textId="77777777" w:rsidR="00311348" w:rsidRPr="008561AD" w:rsidRDefault="00311348">
            <w:pPr>
              <w:jc w:val="center"/>
              <w:rPr>
                <w:rFonts w:ascii="Arial" w:hAnsi="Arial" w:cs="Arial"/>
                <w:sz w:val="22"/>
                <w:szCs w:val="22"/>
                <w:lang w:val="en-US"/>
              </w:rPr>
            </w:pPr>
            <w:r w:rsidRPr="008561AD">
              <w:rPr>
                <w:rFonts w:ascii="Arial" w:hAnsi="Arial" w:cs="Arial"/>
                <w:sz w:val="22"/>
                <w:szCs w:val="22"/>
                <w:lang w:val="en-US"/>
              </w:rPr>
              <w:t>2020</w:t>
            </w:r>
          </w:p>
        </w:tc>
        <w:tc>
          <w:tcPr>
            <w:tcW w:w="2554" w:type="dxa"/>
            <w:vAlign w:val="center"/>
          </w:tcPr>
          <w:p w14:paraId="0F218BFA" w14:textId="77777777" w:rsidR="00311348" w:rsidRPr="008561AD" w:rsidRDefault="00311348" w:rsidP="0018130E">
            <w:pPr>
              <w:jc w:val="center"/>
              <w:rPr>
                <w:rFonts w:ascii="Arial" w:hAnsi="Arial" w:cs="Arial"/>
                <w:sz w:val="22"/>
                <w:szCs w:val="22"/>
                <w:lang w:val="en-US"/>
              </w:rPr>
            </w:pPr>
            <w:r w:rsidRPr="008561AD">
              <w:rPr>
                <w:rFonts w:ascii="Arial" w:hAnsi="Arial" w:cs="Arial"/>
                <w:sz w:val="22"/>
                <w:szCs w:val="22"/>
                <w:lang w:val="en-US"/>
              </w:rPr>
              <w:t>2023</w:t>
            </w:r>
          </w:p>
        </w:tc>
      </w:tr>
      <w:tr w:rsidR="00311348" w:rsidRPr="001C4C1A" w14:paraId="37431ABC" w14:textId="77777777" w:rsidTr="007316E4">
        <w:trPr>
          <w:trHeight w:val="369"/>
        </w:trPr>
        <w:tc>
          <w:tcPr>
            <w:tcW w:w="3964" w:type="dxa"/>
            <w:shd w:val="clear" w:color="auto" w:fill="auto"/>
            <w:vAlign w:val="center"/>
            <w:hideMark/>
          </w:tcPr>
          <w:p w14:paraId="4B56F9B1" w14:textId="23AE5816" w:rsidR="00311348" w:rsidRPr="008561AD" w:rsidRDefault="00592CEE" w:rsidP="00D16318">
            <w:pPr>
              <w:rPr>
                <w:rFonts w:ascii="Arial" w:hAnsi="Arial" w:cs="Arial"/>
                <w:sz w:val="22"/>
                <w:szCs w:val="22"/>
                <w:lang w:val="en-US"/>
              </w:rPr>
            </w:pPr>
            <w:r>
              <w:rPr>
                <w:rFonts w:ascii="Arial" w:hAnsi="Arial" w:cs="Arial"/>
                <w:sz w:val="22"/>
                <w:szCs w:val="22"/>
                <w:lang w:val="en-US"/>
              </w:rPr>
              <w:t>IV:</w:t>
            </w:r>
            <w:r w:rsidR="002E3702">
              <w:rPr>
                <w:rFonts w:ascii="Arial" w:hAnsi="Arial" w:cs="Arial"/>
                <w:sz w:val="22"/>
                <w:szCs w:val="22"/>
                <w:lang w:val="en-US"/>
              </w:rPr>
              <w:t xml:space="preserve"> Asia and Pacific</w:t>
            </w:r>
          </w:p>
        </w:tc>
        <w:tc>
          <w:tcPr>
            <w:tcW w:w="2554" w:type="dxa"/>
            <w:shd w:val="clear" w:color="auto" w:fill="auto"/>
            <w:noWrap/>
            <w:vAlign w:val="center"/>
            <w:hideMark/>
          </w:tcPr>
          <w:p w14:paraId="62B5D1FE" w14:textId="77777777" w:rsidR="00311348" w:rsidRPr="008561AD" w:rsidRDefault="00311348" w:rsidP="0018130E">
            <w:pPr>
              <w:jc w:val="center"/>
              <w:rPr>
                <w:rFonts w:ascii="Arial" w:hAnsi="Arial" w:cs="Arial"/>
                <w:sz w:val="22"/>
                <w:szCs w:val="22"/>
                <w:lang w:val="en-US"/>
              </w:rPr>
            </w:pPr>
            <w:r w:rsidRPr="008561AD">
              <w:rPr>
                <w:rFonts w:ascii="Arial" w:hAnsi="Arial" w:cs="Arial"/>
                <w:sz w:val="22"/>
                <w:szCs w:val="22"/>
                <w:lang w:val="en-US"/>
              </w:rPr>
              <w:t>2021</w:t>
            </w:r>
          </w:p>
        </w:tc>
        <w:tc>
          <w:tcPr>
            <w:tcW w:w="2554" w:type="dxa"/>
            <w:vAlign w:val="center"/>
          </w:tcPr>
          <w:p w14:paraId="7445DD2E" w14:textId="77777777" w:rsidR="00311348" w:rsidRPr="008561AD" w:rsidRDefault="00311348" w:rsidP="0018130E">
            <w:pPr>
              <w:jc w:val="center"/>
              <w:rPr>
                <w:rFonts w:ascii="Arial" w:hAnsi="Arial" w:cs="Arial"/>
                <w:sz w:val="22"/>
                <w:szCs w:val="22"/>
                <w:lang w:val="en-US"/>
              </w:rPr>
            </w:pPr>
            <w:r w:rsidRPr="008561AD">
              <w:rPr>
                <w:rFonts w:ascii="Arial" w:hAnsi="Arial" w:cs="Arial"/>
                <w:sz w:val="22"/>
                <w:szCs w:val="22"/>
                <w:lang w:val="en-US"/>
              </w:rPr>
              <w:t>2024</w:t>
            </w:r>
          </w:p>
        </w:tc>
      </w:tr>
      <w:tr w:rsidR="00311348" w:rsidRPr="001C4C1A" w14:paraId="4A5AE27A" w14:textId="77777777" w:rsidTr="007316E4">
        <w:trPr>
          <w:trHeight w:val="369"/>
        </w:trPr>
        <w:tc>
          <w:tcPr>
            <w:tcW w:w="3964" w:type="dxa"/>
            <w:shd w:val="clear" w:color="auto" w:fill="auto"/>
            <w:vAlign w:val="center"/>
            <w:hideMark/>
          </w:tcPr>
          <w:p w14:paraId="24655CDD" w14:textId="048EF06B" w:rsidR="00311348" w:rsidRPr="008561AD" w:rsidRDefault="002E3702" w:rsidP="00D16318">
            <w:pPr>
              <w:rPr>
                <w:rFonts w:ascii="Arial" w:hAnsi="Arial" w:cs="Arial"/>
                <w:sz w:val="22"/>
                <w:szCs w:val="22"/>
                <w:lang w:val="en-US"/>
              </w:rPr>
            </w:pPr>
            <w:r>
              <w:rPr>
                <w:rFonts w:ascii="Arial" w:hAnsi="Arial" w:cs="Arial"/>
                <w:sz w:val="22"/>
                <w:szCs w:val="22"/>
                <w:lang w:val="en-US"/>
              </w:rPr>
              <w:t>III: Latin America and the Caribbean</w:t>
            </w:r>
          </w:p>
        </w:tc>
        <w:tc>
          <w:tcPr>
            <w:tcW w:w="2554" w:type="dxa"/>
            <w:shd w:val="clear" w:color="auto" w:fill="auto"/>
            <w:noWrap/>
            <w:vAlign w:val="center"/>
            <w:hideMark/>
          </w:tcPr>
          <w:p w14:paraId="5FA85776" w14:textId="77777777" w:rsidR="00311348" w:rsidRPr="008561AD" w:rsidRDefault="00311348" w:rsidP="0018130E">
            <w:pPr>
              <w:jc w:val="center"/>
              <w:rPr>
                <w:rFonts w:ascii="Arial" w:hAnsi="Arial" w:cs="Arial"/>
                <w:sz w:val="22"/>
                <w:szCs w:val="22"/>
                <w:lang w:val="en-US"/>
              </w:rPr>
            </w:pPr>
            <w:r w:rsidRPr="008561AD">
              <w:rPr>
                <w:rFonts w:ascii="Arial" w:hAnsi="Arial" w:cs="Arial"/>
                <w:sz w:val="22"/>
                <w:szCs w:val="22"/>
                <w:lang w:val="en-US"/>
              </w:rPr>
              <w:t>2022</w:t>
            </w:r>
          </w:p>
        </w:tc>
        <w:tc>
          <w:tcPr>
            <w:tcW w:w="2554" w:type="dxa"/>
            <w:vAlign w:val="center"/>
          </w:tcPr>
          <w:p w14:paraId="58302727" w14:textId="77777777" w:rsidR="00311348" w:rsidRPr="008561AD" w:rsidRDefault="00311348" w:rsidP="0018130E">
            <w:pPr>
              <w:jc w:val="center"/>
              <w:rPr>
                <w:rFonts w:ascii="Arial" w:hAnsi="Arial" w:cs="Arial"/>
                <w:sz w:val="22"/>
                <w:szCs w:val="22"/>
                <w:lang w:val="en-US"/>
              </w:rPr>
            </w:pPr>
            <w:r w:rsidRPr="008561AD">
              <w:rPr>
                <w:rFonts w:ascii="Arial" w:hAnsi="Arial" w:cs="Arial"/>
                <w:sz w:val="22"/>
                <w:szCs w:val="22"/>
                <w:lang w:val="en-US"/>
              </w:rPr>
              <w:t>2020</w:t>
            </w:r>
          </w:p>
        </w:tc>
      </w:tr>
      <w:tr w:rsidR="006C255C" w:rsidRPr="001C4C1A" w14:paraId="188BF545" w14:textId="77777777" w:rsidTr="007316E4">
        <w:trPr>
          <w:trHeight w:val="369"/>
        </w:trPr>
        <w:tc>
          <w:tcPr>
            <w:tcW w:w="3964" w:type="dxa"/>
            <w:shd w:val="clear" w:color="auto" w:fill="auto"/>
            <w:vAlign w:val="center"/>
            <w:hideMark/>
          </w:tcPr>
          <w:p w14:paraId="1BAF3DF6" w14:textId="1DB43296" w:rsidR="006C255C" w:rsidRPr="008561AD" w:rsidRDefault="006C255C" w:rsidP="00D16318">
            <w:pPr>
              <w:rPr>
                <w:rFonts w:ascii="Arial" w:hAnsi="Arial" w:cs="Arial"/>
                <w:sz w:val="22"/>
                <w:szCs w:val="22"/>
                <w:lang w:val="en-US"/>
              </w:rPr>
            </w:pPr>
            <w:r>
              <w:rPr>
                <w:rFonts w:ascii="Arial" w:hAnsi="Arial" w:cs="Arial"/>
                <w:sz w:val="22"/>
                <w:szCs w:val="22"/>
                <w:lang w:val="en-US"/>
              </w:rPr>
              <w:t>I: North America and Western Europe</w:t>
            </w:r>
          </w:p>
        </w:tc>
        <w:tc>
          <w:tcPr>
            <w:tcW w:w="2554" w:type="dxa"/>
            <w:vMerge w:val="restart"/>
            <w:shd w:val="clear" w:color="auto" w:fill="auto"/>
            <w:noWrap/>
            <w:vAlign w:val="center"/>
            <w:hideMark/>
          </w:tcPr>
          <w:p w14:paraId="2CE8BF77" w14:textId="044C018F" w:rsidR="006C255C" w:rsidRPr="008561AD" w:rsidRDefault="006C255C" w:rsidP="00E461BB">
            <w:pPr>
              <w:jc w:val="center"/>
              <w:rPr>
                <w:rFonts w:ascii="Arial" w:hAnsi="Arial" w:cs="Arial"/>
                <w:sz w:val="22"/>
                <w:szCs w:val="22"/>
                <w:lang w:val="en-US"/>
              </w:rPr>
            </w:pPr>
            <w:r w:rsidRPr="008561AD">
              <w:rPr>
                <w:rFonts w:ascii="Arial" w:hAnsi="Arial" w:cs="Arial"/>
                <w:sz w:val="22"/>
                <w:szCs w:val="22"/>
                <w:lang w:val="en-US"/>
              </w:rPr>
              <w:t>2023</w:t>
            </w:r>
          </w:p>
        </w:tc>
        <w:tc>
          <w:tcPr>
            <w:tcW w:w="2554" w:type="dxa"/>
            <w:vAlign w:val="center"/>
          </w:tcPr>
          <w:p w14:paraId="7805FB70" w14:textId="77777777" w:rsidR="006C255C" w:rsidRPr="008561AD" w:rsidRDefault="006C255C">
            <w:pPr>
              <w:jc w:val="center"/>
              <w:rPr>
                <w:rFonts w:ascii="Arial" w:hAnsi="Arial" w:cs="Arial"/>
                <w:sz w:val="22"/>
                <w:szCs w:val="22"/>
                <w:lang w:val="en-US"/>
              </w:rPr>
            </w:pPr>
            <w:r w:rsidRPr="008561AD">
              <w:rPr>
                <w:rFonts w:ascii="Arial" w:hAnsi="Arial" w:cs="Arial"/>
                <w:sz w:val="22"/>
                <w:szCs w:val="22"/>
                <w:lang w:val="en-US"/>
              </w:rPr>
              <w:t>2021</w:t>
            </w:r>
          </w:p>
        </w:tc>
      </w:tr>
      <w:tr w:rsidR="006C255C" w:rsidRPr="001C4C1A" w14:paraId="61D8F9EC" w14:textId="77777777" w:rsidTr="007316E4">
        <w:trPr>
          <w:trHeight w:val="369"/>
        </w:trPr>
        <w:tc>
          <w:tcPr>
            <w:tcW w:w="3964" w:type="dxa"/>
            <w:shd w:val="clear" w:color="auto" w:fill="auto"/>
            <w:vAlign w:val="center"/>
          </w:tcPr>
          <w:p w14:paraId="4C4D1C07" w14:textId="6874D006" w:rsidR="006C255C" w:rsidRPr="008561AD" w:rsidRDefault="006C255C" w:rsidP="00D16318">
            <w:pPr>
              <w:rPr>
                <w:rFonts w:ascii="Arial" w:hAnsi="Arial" w:cs="Arial"/>
                <w:sz w:val="22"/>
                <w:szCs w:val="22"/>
                <w:lang w:val="en-US"/>
              </w:rPr>
            </w:pPr>
            <w:r>
              <w:rPr>
                <w:rFonts w:ascii="Arial" w:hAnsi="Arial" w:cs="Arial"/>
                <w:sz w:val="22"/>
                <w:szCs w:val="22"/>
                <w:lang w:val="en-US"/>
              </w:rPr>
              <w:t xml:space="preserve">II: </w:t>
            </w:r>
            <w:r w:rsidRPr="008561AD">
              <w:rPr>
                <w:rFonts w:ascii="Arial" w:hAnsi="Arial" w:cs="Arial"/>
                <w:sz w:val="22"/>
                <w:szCs w:val="22"/>
                <w:lang w:val="en-US"/>
              </w:rPr>
              <w:t>E</w:t>
            </w:r>
            <w:r>
              <w:rPr>
                <w:rFonts w:ascii="Arial" w:hAnsi="Arial" w:cs="Arial"/>
                <w:sz w:val="22"/>
                <w:szCs w:val="22"/>
                <w:lang w:val="en-US"/>
              </w:rPr>
              <w:t>astern Europe</w:t>
            </w:r>
          </w:p>
        </w:tc>
        <w:tc>
          <w:tcPr>
            <w:tcW w:w="2554" w:type="dxa"/>
            <w:vMerge/>
            <w:shd w:val="clear" w:color="auto" w:fill="auto"/>
            <w:noWrap/>
            <w:vAlign w:val="center"/>
          </w:tcPr>
          <w:p w14:paraId="453908B7" w14:textId="0616B651" w:rsidR="006C255C" w:rsidRPr="008561AD" w:rsidRDefault="006C255C" w:rsidP="0018130E">
            <w:pPr>
              <w:jc w:val="center"/>
              <w:rPr>
                <w:rFonts w:ascii="Arial" w:hAnsi="Arial" w:cs="Arial"/>
                <w:sz w:val="22"/>
                <w:szCs w:val="22"/>
                <w:lang w:val="en-US"/>
              </w:rPr>
            </w:pPr>
          </w:p>
        </w:tc>
        <w:tc>
          <w:tcPr>
            <w:tcW w:w="2554" w:type="dxa"/>
            <w:vAlign w:val="center"/>
          </w:tcPr>
          <w:p w14:paraId="38103BF5" w14:textId="77777777" w:rsidR="006C255C" w:rsidRPr="008561AD" w:rsidRDefault="006C255C" w:rsidP="0018130E">
            <w:pPr>
              <w:jc w:val="center"/>
              <w:rPr>
                <w:rFonts w:ascii="Arial" w:hAnsi="Arial" w:cs="Arial"/>
                <w:sz w:val="22"/>
                <w:szCs w:val="22"/>
                <w:lang w:val="en-US"/>
              </w:rPr>
            </w:pPr>
            <w:r w:rsidRPr="008561AD">
              <w:rPr>
                <w:rFonts w:ascii="Arial" w:hAnsi="Arial" w:cs="Arial"/>
                <w:sz w:val="22"/>
                <w:szCs w:val="22"/>
                <w:lang w:val="en-US"/>
              </w:rPr>
              <w:t>2025</w:t>
            </w:r>
          </w:p>
        </w:tc>
      </w:tr>
    </w:tbl>
    <w:p w14:paraId="7085381A" w14:textId="77777777" w:rsidR="00311348" w:rsidRPr="00486594" w:rsidRDefault="00311348" w:rsidP="00C37886">
      <w:pPr>
        <w:pStyle w:val="COMPara"/>
        <w:numPr>
          <w:ilvl w:val="0"/>
          <w:numId w:val="0"/>
        </w:numPr>
        <w:spacing w:before="720"/>
        <w:ind w:left="567"/>
        <w:rPr>
          <w:b/>
        </w:rPr>
      </w:pPr>
      <w:r>
        <w:rPr>
          <w:b/>
        </w:rPr>
        <w:lastRenderedPageBreak/>
        <w:t>Option </w:t>
      </w:r>
      <w:r w:rsidRPr="00486594">
        <w:rPr>
          <w:b/>
        </w:rPr>
        <w:t>I</w:t>
      </w:r>
      <w:r>
        <w:rPr>
          <w:b/>
        </w:rPr>
        <w:t>I</w:t>
      </w:r>
    </w:p>
    <w:p w14:paraId="41C63ACD" w14:textId="77777777" w:rsidR="00311348" w:rsidRDefault="00311348" w:rsidP="00735F2C">
      <w:pPr>
        <w:pStyle w:val="COMPara"/>
        <w:numPr>
          <w:ilvl w:val="1"/>
          <w:numId w:val="13"/>
        </w:numPr>
        <w:spacing w:before="120"/>
        <w:ind w:left="1134" w:hanging="567"/>
        <w:jc w:val="both"/>
      </w:pPr>
      <w:r>
        <w:t>2020: Latin America and the Caribbean</w:t>
      </w:r>
    </w:p>
    <w:p w14:paraId="6CCA9FF7" w14:textId="77777777" w:rsidR="00311348" w:rsidRDefault="00311348" w:rsidP="00735F2C">
      <w:pPr>
        <w:pStyle w:val="COMPara"/>
        <w:numPr>
          <w:ilvl w:val="1"/>
          <w:numId w:val="13"/>
        </w:numPr>
        <w:spacing w:before="120"/>
        <w:ind w:left="1134" w:hanging="567"/>
        <w:jc w:val="both"/>
      </w:pPr>
      <w:r>
        <w:t>2021: Europe</w:t>
      </w:r>
    </w:p>
    <w:p w14:paraId="3467AA3C" w14:textId="77777777" w:rsidR="00311348" w:rsidRDefault="00311348" w:rsidP="00735F2C">
      <w:pPr>
        <w:pStyle w:val="COMPara"/>
        <w:numPr>
          <w:ilvl w:val="1"/>
          <w:numId w:val="13"/>
        </w:numPr>
        <w:spacing w:before="120"/>
        <w:ind w:left="1134" w:hanging="567"/>
        <w:jc w:val="both"/>
      </w:pPr>
      <w:r>
        <w:t>2022: Arab States</w:t>
      </w:r>
    </w:p>
    <w:p w14:paraId="07FAA208" w14:textId="77777777" w:rsidR="00311348" w:rsidRDefault="00311348" w:rsidP="00735F2C">
      <w:pPr>
        <w:pStyle w:val="COMPara"/>
        <w:numPr>
          <w:ilvl w:val="1"/>
          <w:numId w:val="13"/>
        </w:numPr>
        <w:spacing w:before="120"/>
        <w:ind w:left="1134" w:hanging="567"/>
        <w:jc w:val="both"/>
      </w:pPr>
      <w:r>
        <w:t>2023: Africa</w:t>
      </w:r>
    </w:p>
    <w:p w14:paraId="3526C567" w14:textId="77777777" w:rsidR="00311348" w:rsidRDefault="00311348" w:rsidP="00735F2C">
      <w:pPr>
        <w:pStyle w:val="COMPara"/>
        <w:numPr>
          <w:ilvl w:val="1"/>
          <w:numId w:val="13"/>
        </w:numPr>
        <w:spacing w:before="120"/>
        <w:ind w:left="1134" w:hanging="567"/>
        <w:jc w:val="both"/>
      </w:pPr>
      <w:r>
        <w:t>2024: Asia and the Pacific</w:t>
      </w:r>
    </w:p>
    <w:p w14:paraId="2B6FD89C" w14:textId="77777777" w:rsidR="00311348" w:rsidRDefault="00311348" w:rsidP="00735F2C">
      <w:pPr>
        <w:pStyle w:val="COMPara"/>
        <w:numPr>
          <w:ilvl w:val="1"/>
          <w:numId w:val="13"/>
        </w:numPr>
        <w:spacing w:before="120"/>
        <w:ind w:left="1134" w:hanging="567"/>
        <w:jc w:val="both"/>
      </w:pPr>
      <w:r>
        <w:t>2025: Reflection year</w:t>
      </w:r>
    </w:p>
    <w:tbl>
      <w:tblPr>
        <w:tblW w:w="9072" w:type="dxa"/>
        <w:tblInd w:w="567" w:type="dxa"/>
        <w:tblCellMar>
          <w:left w:w="70" w:type="dxa"/>
          <w:right w:w="70" w:type="dxa"/>
        </w:tblCellMar>
        <w:tblLook w:val="04A0" w:firstRow="1" w:lastRow="0" w:firstColumn="1" w:lastColumn="0" w:noHBand="0" w:noVBand="1"/>
      </w:tblPr>
      <w:tblGrid>
        <w:gridCol w:w="3964"/>
        <w:gridCol w:w="2552"/>
        <w:gridCol w:w="2556"/>
      </w:tblGrid>
      <w:tr w:rsidR="0018130E" w:rsidRPr="0018130E" w14:paraId="088A260F" w14:textId="77777777" w:rsidTr="007316E4">
        <w:trPr>
          <w:trHeight w:val="624"/>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A8B1A" w14:textId="77777777" w:rsidR="0018130E" w:rsidRPr="008561AD" w:rsidRDefault="00E052E8" w:rsidP="0018130E">
            <w:pPr>
              <w:jc w:val="center"/>
              <w:rPr>
                <w:rFonts w:ascii="Arial" w:hAnsi="Arial" w:cs="Arial"/>
                <w:b/>
                <w:sz w:val="22"/>
                <w:szCs w:val="22"/>
                <w:lang w:val="en-US"/>
              </w:rPr>
            </w:pPr>
            <w:r>
              <w:rPr>
                <w:rFonts w:ascii="Arial" w:hAnsi="Arial" w:cs="Arial"/>
                <w:b/>
                <w:sz w:val="22"/>
                <w:szCs w:val="22"/>
                <w:lang w:val="en-US"/>
              </w:rPr>
              <w:t>Region</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45B72A81" w14:textId="5B48EEE4" w:rsidR="0018130E" w:rsidRPr="008561AD" w:rsidRDefault="0018130E">
            <w:pPr>
              <w:jc w:val="center"/>
              <w:rPr>
                <w:rFonts w:ascii="Arial" w:hAnsi="Arial" w:cs="Arial"/>
                <w:b/>
                <w:sz w:val="22"/>
                <w:szCs w:val="22"/>
                <w:lang w:val="en-US"/>
              </w:rPr>
            </w:pPr>
            <w:r w:rsidRPr="008561AD">
              <w:rPr>
                <w:rFonts w:ascii="Arial" w:hAnsi="Arial" w:cs="Arial"/>
                <w:b/>
                <w:sz w:val="22"/>
                <w:szCs w:val="22"/>
                <w:lang w:val="en-US"/>
              </w:rPr>
              <w:t>Year of submission 1972</w:t>
            </w:r>
            <w:r w:rsidR="00735F2C">
              <w:rPr>
                <w:rFonts w:ascii="Arial" w:hAnsi="Arial" w:cs="Arial"/>
                <w:b/>
                <w:sz w:val="22"/>
                <w:szCs w:val="22"/>
                <w:lang w:val="en-US"/>
              </w:rPr>
              <w:t> </w:t>
            </w:r>
            <w:r w:rsidRPr="008561AD">
              <w:rPr>
                <w:rFonts w:ascii="Arial" w:hAnsi="Arial" w:cs="Arial"/>
                <w:b/>
                <w:sz w:val="22"/>
                <w:szCs w:val="22"/>
                <w:lang w:val="en-US"/>
              </w:rPr>
              <w:t>Convention</w:t>
            </w:r>
          </w:p>
        </w:tc>
        <w:tc>
          <w:tcPr>
            <w:tcW w:w="2556" w:type="dxa"/>
            <w:tcBorders>
              <w:top w:val="single" w:sz="4" w:space="0" w:color="auto"/>
              <w:left w:val="nil"/>
              <w:bottom w:val="single" w:sz="4" w:space="0" w:color="auto"/>
              <w:right w:val="single" w:sz="4" w:space="0" w:color="auto"/>
            </w:tcBorders>
            <w:vAlign w:val="center"/>
          </w:tcPr>
          <w:p w14:paraId="1EE66A56" w14:textId="29744977" w:rsidR="0018130E" w:rsidRPr="008561AD" w:rsidRDefault="0018130E" w:rsidP="0018130E">
            <w:pPr>
              <w:jc w:val="center"/>
              <w:rPr>
                <w:rFonts w:ascii="Arial" w:hAnsi="Arial" w:cs="Arial"/>
                <w:b/>
                <w:sz w:val="22"/>
                <w:szCs w:val="22"/>
                <w:lang w:val="en-US"/>
              </w:rPr>
            </w:pPr>
            <w:r w:rsidRPr="008561AD">
              <w:rPr>
                <w:rFonts w:ascii="Arial" w:hAnsi="Arial" w:cs="Arial"/>
                <w:b/>
                <w:sz w:val="22"/>
                <w:szCs w:val="22"/>
                <w:lang w:val="en-US"/>
              </w:rPr>
              <w:t>Year of submission 2003</w:t>
            </w:r>
            <w:r w:rsidR="00735F2C">
              <w:rPr>
                <w:rFonts w:ascii="Arial" w:hAnsi="Arial" w:cs="Arial"/>
                <w:b/>
                <w:sz w:val="22"/>
                <w:szCs w:val="22"/>
                <w:lang w:val="en-US"/>
              </w:rPr>
              <w:t> </w:t>
            </w:r>
            <w:r w:rsidRPr="008561AD">
              <w:rPr>
                <w:rFonts w:ascii="Arial" w:hAnsi="Arial" w:cs="Arial"/>
                <w:b/>
                <w:sz w:val="22"/>
                <w:szCs w:val="22"/>
                <w:lang w:val="en-US"/>
              </w:rPr>
              <w:t>Convention</w:t>
            </w:r>
          </w:p>
        </w:tc>
      </w:tr>
      <w:tr w:rsidR="0018130E" w:rsidRPr="0018130E" w14:paraId="77DA4498" w14:textId="77777777" w:rsidTr="007316E4">
        <w:trPr>
          <w:trHeight w:val="369"/>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36E2C57F" w14:textId="77777777" w:rsidR="0018130E" w:rsidRPr="008561AD" w:rsidRDefault="0018130E" w:rsidP="0018130E">
            <w:pPr>
              <w:rPr>
                <w:rFonts w:ascii="Arial" w:hAnsi="Arial" w:cs="Arial"/>
                <w:sz w:val="22"/>
                <w:szCs w:val="22"/>
                <w:lang w:val="en-US"/>
              </w:rPr>
            </w:pPr>
            <w:r w:rsidRPr="008561AD">
              <w:rPr>
                <w:rFonts w:ascii="Arial" w:hAnsi="Arial" w:cs="Arial"/>
                <w:sz w:val="22"/>
                <w:szCs w:val="22"/>
                <w:lang w:val="en-US"/>
              </w:rPr>
              <w:t>Arab States</w:t>
            </w:r>
          </w:p>
        </w:tc>
        <w:tc>
          <w:tcPr>
            <w:tcW w:w="2552" w:type="dxa"/>
            <w:tcBorders>
              <w:top w:val="nil"/>
              <w:left w:val="nil"/>
              <w:bottom w:val="single" w:sz="4" w:space="0" w:color="auto"/>
              <w:right w:val="single" w:sz="4" w:space="0" w:color="auto"/>
            </w:tcBorders>
            <w:shd w:val="clear" w:color="auto" w:fill="auto"/>
            <w:noWrap/>
            <w:vAlign w:val="center"/>
            <w:hideMark/>
          </w:tcPr>
          <w:p w14:paraId="34BF6DE2" w14:textId="77777777" w:rsidR="0018130E" w:rsidRPr="008561AD" w:rsidRDefault="0018130E" w:rsidP="0018130E">
            <w:pPr>
              <w:jc w:val="center"/>
              <w:rPr>
                <w:rFonts w:ascii="Arial" w:hAnsi="Arial" w:cs="Arial"/>
                <w:sz w:val="22"/>
                <w:szCs w:val="22"/>
                <w:lang w:val="en-US"/>
              </w:rPr>
            </w:pPr>
            <w:r w:rsidRPr="008561AD">
              <w:rPr>
                <w:rFonts w:ascii="Arial" w:hAnsi="Arial" w:cs="Arial"/>
                <w:sz w:val="22"/>
                <w:szCs w:val="22"/>
                <w:lang w:val="en-US"/>
              </w:rPr>
              <w:t>2019</w:t>
            </w:r>
          </w:p>
        </w:tc>
        <w:tc>
          <w:tcPr>
            <w:tcW w:w="2556" w:type="dxa"/>
            <w:tcBorders>
              <w:top w:val="nil"/>
              <w:left w:val="nil"/>
              <w:bottom w:val="single" w:sz="4" w:space="0" w:color="auto"/>
              <w:right w:val="single" w:sz="4" w:space="0" w:color="auto"/>
            </w:tcBorders>
            <w:vAlign w:val="center"/>
          </w:tcPr>
          <w:p w14:paraId="2EE73B4A" w14:textId="77777777" w:rsidR="0018130E" w:rsidRPr="008561AD" w:rsidRDefault="0018130E" w:rsidP="0018130E">
            <w:pPr>
              <w:jc w:val="center"/>
              <w:rPr>
                <w:rFonts w:ascii="Arial" w:hAnsi="Arial" w:cs="Arial"/>
                <w:sz w:val="22"/>
                <w:szCs w:val="22"/>
                <w:lang w:val="en-US"/>
              </w:rPr>
            </w:pPr>
            <w:r w:rsidRPr="008561AD">
              <w:rPr>
                <w:rFonts w:ascii="Arial" w:hAnsi="Arial" w:cs="Arial"/>
                <w:sz w:val="22"/>
                <w:szCs w:val="22"/>
                <w:lang w:val="en-US"/>
              </w:rPr>
              <w:t>2022</w:t>
            </w:r>
          </w:p>
        </w:tc>
      </w:tr>
      <w:tr w:rsidR="0018130E" w:rsidRPr="0018130E" w14:paraId="224F5829" w14:textId="77777777" w:rsidTr="007316E4">
        <w:trPr>
          <w:trHeight w:val="369"/>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67CB3" w14:textId="77777777" w:rsidR="0018130E" w:rsidRPr="008561AD" w:rsidRDefault="0018130E" w:rsidP="0018130E">
            <w:pPr>
              <w:rPr>
                <w:rFonts w:ascii="Arial" w:hAnsi="Arial" w:cs="Arial"/>
                <w:sz w:val="22"/>
                <w:szCs w:val="22"/>
                <w:lang w:val="en-US"/>
              </w:rPr>
            </w:pPr>
            <w:r w:rsidRPr="008561AD">
              <w:rPr>
                <w:rFonts w:ascii="Arial" w:hAnsi="Arial" w:cs="Arial"/>
                <w:sz w:val="22"/>
                <w:szCs w:val="22"/>
                <w:lang w:val="en-US"/>
              </w:rPr>
              <w:t>Africa</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416A8DB5" w14:textId="77777777" w:rsidR="0018130E" w:rsidRPr="008561AD" w:rsidRDefault="0018130E" w:rsidP="0018130E">
            <w:pPr>
              <w:jc w:val="center"/>
              <w:rPr>
                <w:rFonts w:ascii="Arial" w:hAnsi="Arial" w:cs="Arial"/>
                <w:sz w:val="22"/>
                <w:szCs w:val="22"/>
                <w:lang w:val="en-US"/>
              </w:rPr>
            </w:pPr>
            <w:r w:rsidRPr="008561AD">
              <w:rPr>
                <w:rFonts w:ascii="Arial" w:hAnsi="Arial" w:cs="Arial"/>
                <w:sz w:val="22"/>
                <w:szCs w:val="22"/>
                <w:lang w:val="en-US"/>
              </w:rPr>
              <w:t>2020</w:t>
            </w:r>
          </w:p>
        </w:tc>
        <w:tc>
          <w:tcPr>
            <w:tcW w:w="2556" w:type="dxa"/>
            <w:tcBorders>
              <w:top w:val="single" w:sz="4" w:space="0" w:color="auto"/>
              <w:left w:val="nil"/>
              <w:bottom w:val="single" w:sz="4" w:space="0" w:color="auto"/>
              <w:right w:val="single" w:sz="4" w:space="0" w:color="auto"/>
            </w:tcBorders>
            <w:vAlign w:val="center"/>
          </w:tcPr>
          <w:p w14:paraId="2FCB38D0" w14:textId="77777777" w:rsidR="0018130E" w:rsidRPr="008561AD" w:rsidRDefault="0018130E" w:rsidP="0018130E">
            <w:pPr>
              <w:jc w:val="center"/>
              <w:rPr>
                <w:rFonts w:ascii="Arial" w:hAnsi="Arial" w:cs="Arial"/>
                <w:sz w:val="22"/>
                <w:szCs w:val="22"/>
                <w:lang w:val="en-US"/>
              </w:rPr>
            </w:pPr>
            <w:r w:rsidRPr="008561AD">
              <w:rPr>
                <w:rFonts w:ascii="Arial" w:hAnsi="Arial" w:cs="Arial"/>
                <w:sz w:val="22"/>
                <w:szCs w:val="22"/>
                <w:lang w:val="en-US"/>
              </w:rPr>
              <w:t>2023</w:t>
            </w:r>
          </w:p>
        </w:tc>
      </w:tr>
      <w:tr w:rsidR="0018130E" w:rsidRPr="0018130E" w14:paraId="4A191CF5" w14:textId="77777777" w:rsidTr="007316E4">
        <w:trPr>
          <w:trHeight w:val="369"/>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5D324" w14:textId="5FAD569B" w:rsidR="0018130E" w:rsidRPr="008561AD" w:rsidRDefault="004E2425" w:rsidP="0018130E">
            <w:pPr>
              <w:rPr>
                <w:rFonts w:ascii="Arial" w:hAnsi="Arial" w:cs="Arial"/>
                <w:sz w:val="22"/>
                <w:szCs w:val="22"/>
                <w:lang w:val="en-US"/>
              </w:rPr>
            </w:pPr>
            <w:r w:rsidRPr="004E2425">
              <w:rPr>
                <w:rFonts w:ascii="Arial" w:hAnsi="Arial" w:cs="Arial"/>
                <w:sz w:val="22"/>
                <w:szCs w:val="22"/>
              </w:rPr>
              <w:t>Asia and the Pacific</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69B1F965" w14:textId="77777777" w:rsidR="0018130E" w:rsidRPr="008561AD" w:rsidRDefault="0018130E" w:rsidP="0018130E">
            <w:pPr>
              <w:jc w:val="center"/>
              <w:rPr>
                <w:rFonts w:ascii="Arial" w:hAnsi="Arial" w:cs="Arial"/>
                <w:sz w:val="22"/>
                <w:szCs w:val="22"/>
                <w:lang w:val="en-US"/>
              </w:rPr>
            </w:pPr>
            <w:r w:rsidRPr="008561AD">
              <w:rPr>
                <w:rFonts w:ascii="Arial" w:hAnsi="Arial" w:cs="Arial"/>
                <w:sz w:val="22"/>
                <w:szCs w:val="22"/>
                <w:lang w:val="en-US"/>
              </w:rPr>
              <w:t>2021</w:t>
            </w:r>
          </w:p>
        </w:tc>
        <w:tc>
          <w:tcPr>
            <w:tcW w:w="2556" w:type="dxa"/>
            <w:tcBorders>
              <w:top w:val="single" w:sz="4" w:space="0" w:color="auto"/>
              <w:left w:val="nil"/>
              <w:bottom w:val="single" w:sz="4" w:space="0" w:color="auto"/>
              <w:right w:val="single" w:sz="4" w:space="0" w:color="auto"/>
            </w:tcBorders>
            <w:vAlign w:val="center"/>
          </w:tcPr>
          <w:p w14:paraId="6BB9986A" w14:textId="77777777" w:rsidR="0018130E" w:rsidRPr="008561AD" w:rsidRDefault="0018130E" w:rsidP="0018130E">
            <w:pPr>
              <w:jc w:val="center"/>
              <w:rPr>
                <w:rFonts w:ascii="Arial" w:hAnsi="Arial" w:cs="Arial"/>
                <w:sz w:val="22"/>
                <w:szCs w:val="22"/>
                <w:lang w:val="en-US"/>
              </w:rPr>
            </w:pPr>
            <w:r w:rsidRPr="008561AD">
              <w:rPr>
                <w:rFonts w:ascii="Arial" w:hAnsi="Arial" w:cs="Arial"/>
                <w:sz w:val="22"/>
                <w:szCs w:val="22"/>
                <w:lang w:val="en-US"/>
              </w:rPr>
              <w:t>2024</w:t>
            </w:r>
          </w:p>
        </w:tc>
      </w:tr>
      <w:tr w:rsidR="0018130E" w:rsidRPr="0018130E" w14:paraId="4477E4A2" w14:textId="77777777" w:rsidTr="007316E4">
        <w:trPr>
          <w:trHeight w:val="369"/>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8C5FC" w14:textId="60B724C1" w:rsidR="0018130E" w:rsidRPr="008561AD" w:rsidRDefault="004E2425" w:rsidP="0018130E">
            <w:pPr>
              <w:rPr>
                <w:rFonts w:ascii="Arial" w:hAnsi="Arial" w:cs="Arial"/>
                <w:sz w:val="22"/>
                <w:szCs w:val="22"/>
                <w:lang w:val="en-US"/>
              </w:rPr>
            </w:pPr>
            <w:r w:rsidRPr="004E2425">
              <w:rPr>
                <w:rFonts w:ascii="Arial" w:hAnsi="Arial" w:cs="Arial"/>
                <w:sz w:val="22"/>
                <w:szCs w:val="22"/>
                <w:lang w:val="en-US"/>
              </w:rPr>
              <w:t>Latin America and the Caribbean</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74502C5C" w14:textId="77777777" w:rsidR="0018130E" w:rsidRPr="008561AD" w:rsidRDefault="0018130E" w:rsidP="0018130E">
            <w:pPr>
              <w:jc w:val="center"/>
              <w:rPr>
                <w:rFonts w:ascii="Arial" w:hAnsi="Arial" w:cs="Arial"/>
                <w:sz w:val="22"/>
                <w:szCs w:val="22"/>
                <w:lang w:val="en-US"/>
              </w:rPr>
            </w:pPr>
            <w:r w:rsidRPr="008561AD">
              <w:rPr>
                <w:rFonts w:ascii="Arial" w:hAnsi="Arial" w:cs="Arial"/>
                <w:sz w:val="22"/>
                <w:szCs w:val="22"/>
                <w:lang w:val="en-US"/>
              </w:rPr>
              <w:t>2022</w:t>
            </w:r>
          </w:p>
        </w:tc>
        <w:tc>
          <w:tcPr>
            <w:tcW w:w="2556" w:type="dxa"/>
            <w:tcBorders>
              <w:top w:val="single" w:sz="4" w:space="0" w:color="auto"/>
              <w:left w:val="nil"/>
              <w:bottom w:val="single" w:sz="4" w:space="0" w:color="auto"/>
              <w:right w:val="single" w:sz="4" w:space="0" w:color="auto"/>
            </w:tcBorders>
            <w:vAlign w:val="center"/>
          </w:tcPr>
          <w:p w14:paraId="42C2C121" w14:textId="77777777" w:rsidR="0018130E" w:rsidRPr="008561AD" w:rsidRDefault="0018130E" w:rsidP="0018130E">
            <w:pPr>
              <w:jc w:val="center"/>
              <w:rPr>
                <w:rFonts w:ascii="Arial" w:hAnsi="Arial" w:cs="Arial"/>
                <w:sz w:val="22"/>
                <w:szCs w:val="22"/>
                <w:lang w:val="en-US"/>
              </w:rPr>
            </w:pPr>
            <w:r w:rsidRPr="008561AD">
              <w:rPr>
                <w:rFonts w:ascii="Arial" w:hAnsi="Arial" w:cs="Arial"/>
                <w:sz w:val="22"/>
                <w:szCs w:val="22"/>
                <w:lang w:val="en-US"/>
              </w:rPr>
              <w:t>2020</w:t>
            </w:r>
          </w:p>
        </w:tc>
      </w:tr>
      <w:tr w:rsidR="0018130E" w:rsidRPr="0018130E" w14:paraId="3637931D" w14:textId="77777777" w:rsidTr="007316E4">
        <w:trPr>
          <w:trHeight w:val="369"/>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AE5EE" w14:textId="31C536E1" w:rsidR="0018130E" w:rsidRPr="008561AD" w:rsidRDefault="004E2425" w:rsidP="0018130E">
            <w:pPr>
              <w:rPr>
                <w:rFonts w:ascii="Arial" w:hAnsi="Arial" w:cs="Arial"/>
                <w:sz w:val="22"/>
                <w:szCs w:val="22"/>
                <w:lang w:val="en-US"/>
              </w:rPr>
            </w:pPr>
            <w:r>
              <w:rPr>
                <w:rFonts w:ascii="Arial" w:hAnsi="Arial" w:cs="Arial"/>
                <w:sz w:val="22"/>
                <w:szCs w:val="22"/>
                <w:lang w:val="en-US"/>
              </w:rPr>
              <w:t>Europe</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59A3B573" w14:textId="77777777" w:rsidR="0018130E" w:rsidRPr="008561AD" w:rsidRDefault="0018130E" w:rsidP="0018130E">
            <w:pPr>
              <w:jc w:val="center"/>
              <w:rPr>
                <w:rFonts w:ascii="Arial" w:hAnsi="Arial" w:cs="Arial"/>
                <w:sz w:val="22"/>
                <w:szCs w:val="22"/>
                <w:lang w:val="en-US"/>
              </w:rPr>
            </w:pPr>
            <w:r w:rsidRPr="008561AD">
              <w:rPr>
                <w:rFonts w:ascii="Arial" w:hAnsi="Arial" w:cs="Arial"/>
                <w:sz w:val="22"/>
                <w:szCs w:val="22"/>
                <w:lang w:val="en-US"/>
              </w:rPr>
              <w:t>2023</w:t>
            </w:r>
          </w:p>
        </w:tc>
        <w:tc>
          <w:tcPr>
            <w:tcW w:w="2556" w:type="dxa"/>
            <w:tcBorders>
              <w:top w:val="single" w:sz="4" w:space="0" w:color="auto"/>
              <w:left w:val="nil"/>
              <w:bottom w:val="single" w:sz="4" w:space="0" w:color="auto"/>
              <w:right w:val="single" w:sz="4" w:space="0" w:color="auto"/>
            </w:tcBorders>
            <w:vAlign w:val="center"/>
          </w:tcPr>
          <w:p w14:paraId="7874DC62" w14:textId="77777777" w:rsidR="0018130E" w:rsidRPr="008561AD" w:rsidRDefault="0018130E" w:rsidP="0018130E">
            <w:pPr>
              <w:jc w:val="center"/>
              <w:rPr>
                <w:rFonts w:ascii="Arial" w:hAnsi="Arial" w:cs="Arial"/>
                <w:sz w:val="22"/>
                <w:szCs w:val="22"/>
                <w:lang w:val="en-US"/>
              </w:rPr>
            </w:pPr>
            <w:r w:rsidRPr="008561AD">
              <w:rPr>
                <w:rFonts w:ascii="Arial" w:hAnsi="Arial" w:cs="Arial"/>
                <w:sz w:val="22"/>
                <w:szCs w:val="22"/>
                <w:lang w:val="en-US"/>
              </w:rPr>
              <w:t>2021</w:t>
            </w:r>
          </w:p>
        </w:tc>
      </w:tr>
      <w:tr w:rsidR="0018130E" w:rsidRPr="0018130E" w14:paraId="76951D46" w14:textId="77777777" w:rsidTr="007316E4">
        <w:trPr>
          <w:trHeight w:val="369"/>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0D138E97" w14:textId="77777777" w:rsidR="0018130E" w:rsidRPr="008561AD" w:rsidRDefault="0018130E" w:rsidP="0018130E">
            <w:pPr>
              <w:rPr>
                <w:rFonts w:ascii="Arial" w:hAnsi="Arial" w:cs="Arial"/>
                <w:i/>
                <w:sz w:val="22"/>
                <w:szCs w:val="22"/>
                <w:lang w:val="en-US"/>
              </w:rPr>
            </w:pPr>
            <w:r w:rsidRPr="008561AD">
              <w:rPr>
                <w:rFonts w:ascii="Arial" w:hAnsi="Arial" w:cs="Arial"/>
                <w:i/>
                <w:sz w:val="22"/>
                <w:szCs w:val="22"/>
                <w:lang w:val="en-US"/>
              </w:rPr>
              <w:t>Reflection year</w:t>
            </w:r>
          </w:p>
        </w:tc>
        <w:tc>
          <w:tcPr>
            <w:tcW w:w="2552" w:type="dxa"/>
            <w:tcBorders>
              <w:top w:val="single" w:sz="4" w:space="0" w:color="auto"/>
              <w:left w:val="nil"/>
              <w:bottom w:val="single" w:sz="4" w:space="0" w:color="auto"/>
              <w:right w:val="single" w:sz="4" w:space="0" w:color="auto"/>
            </w:tcBorders>
            <w:shd w:val="clear" w:color="auto" w:fill="auto"/>
            <w:noWrap/>
            <w:vAlign w:val="center"/>
          </w:tcPr>
          <w:p w14:paraId="4251DC2C" w14:textId="77777777" w:rsidR="0018130E" w:rsidRPr="008561AD" w:rsidRDefault="0018130E" w:rsidP="0018130E">
            <w:pPr>
              <w:jc w:val="center"/>
              <w:rPr>
                <w:rFonts w:ascii="Arial" w:hAnsi="Arial" w:cs="Arial"/>
                <w:sz w:val="22"/>
                <w:szCs w:val="22"/>
                <w:lang w:val="en-US"/>
              </w:rPr>
            </w:pPr>
            <w:r w:rsidRPr="008561AD">
              <w:rPr>
                <w:rFonts w:ascii="Arial" w:hAnsi="Arial" w:cs="Arial"/>
                <w:sz w:val="22"/>
                <w:szCs w:val="22"/>
                <w:lang w:val="en-US"/>
              </w:rPr>
              <w:t>2024</w:t>
            </w:r>
          </w:p>
        </w:tc>
        <w:tc>
          <w:tcPr>
            <w:tcW w:w="2556" w:type="dxa"/>
            <w:tcBorders>
              <w:top w:val="single" w:sz="4" w:space="0" w:color="auto"/>
              <w:left w:val="nil"/>
              <w:bottom w:val="single" w:sz="4" w:space="0" w:color="auto"/>
              <w:right w:val="single" w:sz="4" w:space="0" w:color="auto"/>
            </w:tcBorders>
            <w:vAlign w:val="center"/>
          </w:tcPr>
          <w:p w14:paraId="597848FE" w14:textId="77777777" w:rsidR="0018130E" w:rsidRPr="008561AD" w:rsidRDefault="0018130E" w:rsidP="0018130E">
            <w:pPr>
              <w:jc w:val="center"/>
              <w:rPr>
                <w:rFonts w:ascii="Arial" w:hAnsi="Arial" w:cs="Arial"/>
                <w:sz w:val="22"/>
                <w:szCs w:val="22"/>
                <w:lang w:val="en-US"/>
              </w:rPr>
            </w:pPr>
            <w:r w:rsidRPr="008561AD">
              <w:rPr>
                <w:rFonts w:ascii="Arial" w:hAnsi="Arial" w:cs="Arial"/>
                <w:sz w:val="22"/>
                <w:szCs w:val="22"/>
                <w:lang w:val="en-US"/>
              </w:rPr>
              <w:t>2025</w:t>
            </w:r>
          </w:p>
        </w:tc>
      </w:tr>
    </w:tbl>
    <w:p w14:paraId="5291CC40" w14:textId="0D7309E2" w:rsidR="00392958" w:rsidRDefault="00FA238A" w:rsidP="00E461BB">
      <w:pPr>
        <w:pStyle w:val="COMPara"/>
        <w:numPr>
          <w:ilvl w:val="0"/>
          <w:numId w:val="13"/>
        </w:numPr>
        <w:spacing w:before="240"/>
        <w:ind w:left="567" w:hanging="567"/>
        <w:jc w:val="both"/>
      </w:pPr>
      <w:r>
        <w:t xml:space="preserve">Regardless of the </w:t>
      </w:r>
      <w:r w:rsidR="0018130E">
        <w:t xml:space="preserve">option selected by the Committee, </w:t>
      </w:r>
      <w:r w:rsidR="0018130E" w:rsidRPr="0008597B">
        <w:t xml:space="preserve">States that newly ratified or will ratify the Convention during the transition period will be </w:t>
      </w:r>
      <w:r w:rsidR="00FD0512">
        <w:t>given</w:t>
      </w:r>
      <w:r w:rsidR="00FD0512" w:rsidRPr="0008597B">
        <w:t xml:space="preserve"> </w:t>
      </w:r>
      <w:r w:rsidR="0018130E" w:rsidRPr="0008597B">
        <w:t>due consideration</w:t>
      </w:r>
      <w:r w:rsidR="00FD0512">
        <w:t xml:space="preserve"> in terms of</w:t>
      </w:r>
      <w:r w:rsidR="0018130E" w:rsidRPr="0008597B">
        <w:t xml:space="preserve"> the amount of time between ratification and their first due report.</w:t>
      </w:r>
      <w:r w:rsidR="0018130E">
        <w:t xml:space="preserve"> </w:t>
      </w:r>
      <w:proofErr w:type="gramStart"/>
      <w:r w:rsidR="00FA0DC3">
        <w:t>A</w:t>
      </w:r>
      <w:r w:rsidR="0018130E">
        <w:t xml:space="preserve">ccording to the analysis of the Secretariat on the States that ratified the 2003 Convention </w:t>
      </w:r>
      <w:r w:rsidR="00FA0DC3">
        <w:t xml:space="preserve">most recently and </w:t>
      </w:r>
      <w:r w:rsidR="00820D41">
        <w:t xml:space="preserve">from </w:t>
      </w:r>
      <w:r w:rsidR="0018130E">
        <w:t xml:space="preserve">2016 onwards, </w:t>
      </w:r>
      <w:r w:rsidR="00E052E8">
        <w:t>both</w:t>
      </w:r>
      <w:r w:rsidR="00CC29CC">
        <w:t xml:space="preserve"> </w:t>
      </w:r>
      <w:r w:rsidR="00FD0512">
        <w:t xml:space="preserve">of the above </w:t>
      </w:r>
      <w:r w:rsidR="00FA0DC3">
        <w:t>options</w:t>
      </w:r>
      <w:r w:rsidR="00E052E8">
        <w:t xml:space="preserve"> </w:t>
      </w:r>
      <w:r w:rsidR="0018130E">
        <w:t xml:space="preserve">allow the regions </w:t>
      </w:r>
      <w:r w:rsidR="00CC29CC">
        <w:t>with the highest number of newly rat</w:t>
      </w:r>
      <w:r w:rsidR="001C3F6F">
        <w:t xml:space="preserve">ified States </w:t>
      </w:r>
      <w:r w:rsidR="00E052E8">
        <w:t>to report later</w:t>
      </w:r>
      <w:r w:rsidR="0018130E">
        <w:t xml:space="preserve"> in the calendar</w:t>
      </w:r>
      <w:r w:rsidR="00E052E8">
        <w:t>,</w:t>
      </w:r>
      <w:r w:rsidR="0018130E">
        <w:t xml:space="preserve"> namely </w:t>
      </w:r>
      <w:r w:rsidR="00E052E8">
        <w:t xml:space="preserve">Group V(a) </w:t>
      </w:r>
      <w:r w:rsidR="00E461BB">
        <w:t>–</w:t>
      </w:r>
      <w:r w:rsidR="00223BD0">
        <w:t xml:space="preserve"> </w:t>
      </w:r>
      <w:r w:rsidR="00E052E8">
        <w:t xml:space="preserve">Africa </w:t>
      </w:r>
      <w:r w:rsidR="00820D41">
        <w:t>(</w:t>
      </w:r>
      <w:r w:rsidR="00E052E8">
        <w:t xml:space="preserve">with </w:t>
      </w:r>
      <w:r w:rsidR="00E518C5">
        <w:t xml:space="preserve">four </w:t>
      </w:r>
      <w:r w:rsidR="00820D41">
        <w:t>new States Parties) in 2023</w:t>
      </w:r>
      <w:r w:rsidR="00FA0DC3">
        <w:t xml:space="preserve"> </w:t>
      </w:r>
      <w:r w:rsidR="00820D41">
        <w:t xml:space="preserve">and Group IV </w:t>
      </w:r>
      <w:r w:rsidR="00E461BB">
        <w:t>–</w:t>
      </w:r>
      <w:r w:rsidR="00223BD0">
        <w:t xml:space="preserve"> Asia and the Pacific </w:t>
      </w:r>
      <w:r w:rsidR="00820D41">
        <w:t xml:space="preserve">(with </w:t>
      </w:r>
      <w:r w:rsidR="00E518C5">
        <w:t xml:space="preserve">seven </w:t>
      </w:r>
      <w:r w:rsidR="00820D41">
        <w:t>new States Parties) in 2024</w:t>
      </w:r>
      <w:r w:rsidR="00E052E8">
        <w:t>.</w:t>
      </w:r>
      <w:proofErr w:type="gramEnd"/>
    </w:p>
    <w:p w14:paraId="14E91F5A" w14:textId="720A64A9" w:rsidR="00AB3D4D" w:rsidRPr="00EA528C" w:rsidRDefault="00AB3D4D" w:rsidP="00517A25">
      <w:pPr>
        <w:pStyle w:val="COMPara"/>
        <w:keepNext/>
        <w:ind w:left="567" w:hanging="567"/>
      </w:pPr>
      <w:r w:rsidRPr="000B1C8F">
        <w:t xml:space="preserve">The Committee may wish </w:t>
      </w:r>
      <w:r>
        <w:t>to adopt the following decision</w:t>
      </w:r>
      <w:r w:rsidRPr="00EA528C">
        <w:t>:</w:t>
      </w:r>
    </w:p>
    <w:p w14:paraId="3E55873F" w14:textId="27B6B543" w:rsidR="00D95C4C" w:rsidRPr="00FD624F" w:rsidRDefault="004A34A0" w:rsidP="001D14FE">
      <w:pPr>
        <w:pStyle w:val="COMTitleDecision"/>
        <w:rPr>
          <w:rFonts w:eastAsia="SimSun"/>
        </w:rPr>
      </w:pPr>
      <w:r>
        <w:t xml:space="preserve">DRAFT </w:t>
      </w:r>
      <w:r w:rsidR="00CB0542">
        <w:t>DECISION 1</w:t>
      </w:r>
      <w:r w:rsidR="001D14FE">
        <w:t>3</w:t>
      </w:r>
      <w:r w:rsidR="00EC6F8D">
        <w:t>.COM</w:t>
      </w:r>
      <w:r w:rsidR="009C3A19">
        <w:t> </w:t>
      </w:r>
      <w:r w:rsidR="000A4F09" w:rsidRPr="000A4F09">
        <w:t>8</w:t>
      </w:r>
    </w:p>
    <w:p w14:paraId="7232471D" w14:textId="77777777" w:rsidR="00D95C4C" w:rsidRPr="00285BB4" w:rsidRDefault="00285BB4" w:rsidP="00285BB4">
      <w:pPr>
        <w:pStyle w:val="COMPreambulaDecisions"/>
        <w:rPr>
          <w:rFonts w:eastAsia="SimSun"/>
        </w:rPr>
      </w:pPr>
      <w:r w:rsidRPr="00285BB4">
        <w:t>The Committee,</w:t>
      </w:r>
    </w:p>
    <w:p w14:paraId="0DDF0B77" w14:textId="77777777" w:rsidR="0057439C" w:rsidRPr="00345CB4" w:rsidRDefault="00D95C4C" w:rsidP="00CB684C">
      <w:pPr>
        <w:pStyle w:val="COMParaDecision"/>
        <w:ind w:left="1134" w:hanging="567"/>
      </w:pPr>
      <w:r w:rsidRPr="00345CB4">
        <w:t>Having examined</w:t>
      </w:r>
      <w:r w:rsidRPr="00F32C23">
        <w:rPr>
          <w:u w:val="none"/>
        </w:rPr>
        <w:t xml:space="preserve"> doc</w:t>
      </w:r>
      <w:r w:rsidR="00CB0542">
        <w:rPr>
          <w:u w:val="none"/>
        </w:rPr>
        <w:t>ument ITH/1</w:t>
      </w:r>
      <w:r w:rsidR="001D14FE">
        <w:rPr>
          <w:u w:val="none"/>
        </w:rPr>
        <w:t>8</w:t>
      </w:r>
      <w:r w:rsidR="00337CEB">
        <w:rPr>
          <w:u w:val="none"/>
        </w:rPr>
        <w:t>/1</w:t>
      </w:r>
      <w:r w:rsidR="001D14FE">
        <w:rPr>
          <w:u w:val="none"/>
        </w:rPr>
        <w:t>3</w:t>
      </w:r>
      <w:r w:rsidR="00EC6F8D" w:rsidRPr="00F32C23">
        <w:rPr>
          <w:u w:val="none"/>
        </w:rPr>
        <w:t>.COM</w:t>
      </w:r>
      <w:r w:rsidR="004A34A0" w:rsidRPr="00F32C23">
        <w:rPr>
          <w:u w:val="none"/>
        </w:rPr>
        <w:t>/</w:t>
      </w:r>
      <w:r w:rsidR="000A4F09" w:rsidRPr="000A4F09">
        <w:rPr>
          <w:u w:val="none"/>
        </w:rPr>
        <w:t>8</w:t>
      </w:r>
      <w:r w:rsidRPr="00F32C23">
        <w:rPr>
          <w:u w:val="none"/>
        </w:rPr>
        <w:t>,</w:t>
      </w:r>
    </w:p>
    <w:p w14:paraId="40C7854F" w14:textId="77777777" w:rsidR="0057439C" w:rsidRPr="00345CB4" w:rsidRDefault="0057439C" w:rsidP="00CB684C">
      <w:pPr>
        <w:pStyle w:val="COMParaDecision"/>
        <w:ind w:left="1134" w:hanging="567"/>
      </w:pPr>
      <w:r w:rsidRPr="00345CB4">
        <w:t>Recalling</w:t>
      </w:r>
      <w:r w:rsidR="004D4D3A">
        <w:rPr>
          <w:u w:val="none"/>
        </w:rPr>
        <w:t xml:space="preserve"> Articles 7(f), 29 and 30 of the Convention</w:t>
      </w:r>
      <w:r w:rsidRPr="00F32C23">
        <w:rPr>
          <w:u w:val="none"/>
        </w:rPr>
        <w:t>,</w:t>
      </w:r>
    </w:p>
    <w:p w14:paraId="41520090" w14:textId="2AB5A1A5" w:rsidR="00D95C4C" w:rsidRPr="00345CB4" w:rsidRDefault="00D95C4C" w:rsidP="00E461BB">
      <w:pPr>
        <w:pStyle w:val="COMParaDecision"/>
        <w:ind w:left="1134" w:hanging="567"/>
      </w:pPr>
      <w:r w:rsidRPr="00345CB4">
        <w:t>Further recalling</w:t>
      </w:r>
      <w:r w:rsidR="00D77D62">
        <w:rPr>
          <w:u w:val="none"/>
        </w:rPr>
        <w:t xml:space="preserve"> </w:t>
      </w:r>
      <w:hyperlink r:id="rId20" w:history="1">
        <w:r w:rsidR="00440B2B" w:rsidRPr="00D16318">
          <w:rPr>
            <w:rStyle w:val="Hyperlink"/>
          </w:rPr>
          <w:t>D</w:t>
        </w:r>
        <w:r w:rsidR="00D77D62" w:rsidRPr="00D16318">
          <w:rPr>
            <w:rStyle w:val="Hyperlink"/>
          </w:rPr>
          <w:t>ecision 12.COM 10</w:t>
        </w:r>
      </w:hyperlink>
      <w:r w:rsidR="00D77D62" w:rsidRPr="00D77D62">
        <w:rPr>
          <w:u w:val="none"/>
        </w:rPr>
        <w:t xml:space="preserve"> </w:t>
      </w:r>
      <w:r w:rsidR="00DA4F7F">
        <w:rPr>
          <w:u w:val="none"/>
        </w:rPr>
        <w:t xml:space="preserve">as well as </w:t>
      </w:r>
      <w:hyperlink r:id="rId21" w:history="1">
        <w:r w:rsidR="004F270D" w:rsidRPr="00D16318">
          <w:rPr>
            <w:rStyle w:val="Hyperlink"/>
          </w:rPr>
          <w:t>Resolution</w:t>
        </w:r>
        <w:r w:rsidR="00E461BB">
          <w:rPr>
            <w:rStyle w:val="Hyperlink"/>
          </w:rPr>
          <w:t> </w:t>
        </w:r>
        <w:r w:rsidR="00D242E7" w:rsidRPr="00D16318">
          <w:rPr>
            <w:rStyle w:val="Hyperlink"/>
          </w:rPr>
          <w:t>7.GA</w:t>
        </w:r>
        <w:r w:rsidR="00E461BB">
          <w:rPr>
            <w:rStyle w:val="Hyperlink"/>
          </w:rPr>
          <w:t> </w:t>
        </w:r>
        <w:r w:rsidR="00D242E7" w:rsidRPr="00D16318">
          <w:rPr>
            <w:rStyle w:val="Hyperlink"/>
          </w:rPr>
          <w:t>10</w:t>
        </w:r>
      </w:hyperlink>
      <w:r w:rsidR="00DA4F7F">
        <w:rPr>
          <w:rStyle w:val="Hyperlink"/>
        </w:rPr>
        <w:t>,</w:t>
      </w:r>
    </w:p>
    <w:p w14:paraId="01EC7E7D" w14:textId="3408FE18" w:rsidR="00D95C4C" w:rsidRPr="00345CB4" w:rsidRDefault="004F270D" w:rsidP="00CB684C">
      <w:pPr>
        <w:pStyle w:val="COMParaDecision"/>
        <w:ind w:left="1134" w:hanging="567"/>
      </w:pPr>
      <w:r>
        <w:t>Taking note</w:t>
      </w:r>
      <w:r w:rsidRPr="004F270D">
        <w:rPr>
          <w:u w:val="none"/>
        </w:rPr>
        <w:t xml:space="preserve"> of the </w:t>
      </w:r>
      <w:r w:rsidR="009C3A19">
        <w:rPr>
          <w:u w:val="none"/>
        </w:rPr>
        <w:t>debate</w:t>
      </w:r>
      <w:r w:rsidR="00DA4F7F">
        <w:rPr>
          <w:u w:val="none"/>
        </w:rPr>
        <w:t xml:space="preserve">s at its twelfth session as well as those during </w:t>
      </w:r>
      <w:r>
        <w:rPr>
          <w:u w:val="none"/>
        </w:rPr>
        <w:t xml:space="preserve">the seventh session of the General Assembly on the revisions of the </w:t>
      </w:r>
      <w:r w:rsidR="00CD2126">
        <w:rPr>
          <w:u w:val="none"/>
        </w:rPr>
        <w:t>Operational Directives and</w:t>
      </w:r>
      <w:r w:rsidR="009D0550">
        <w:rPr>
          <w:u w:val="none"/>
        </w:rPr>
        <w:t xml:space="preserve"> the associated </w:t>
      </w:r>
      <w:r w:rsidR="00CD2126">
        <w:rPr>
          <w:u w:val="none"/>
        </w:rPr>
        <w:t xml:space="preserve">reform of the periodic reporting to </w:t>
      </w:r>
      <w:r w:rsidR="00D16318">
        <w:rPr>
          <w:u w:val="none"/>
        </w:rPr>
        <w:t xml:space="preserve">move towards </w:t>
      </w:r>
      <w:r w:rsidR="00CD2126">
        <w:rPr>
          <w:u w:val="none"/>
        </w:rPr>
        <w:t>a regional cycle of reporting</w:t>
      </w:r>
      <w:r w:rsidR="00D95C4C" w:rsidRPr="00F32C23">
        <w:rPr>
          <w:u w:val="none"/>
        </w:rPr>
        <w:t>,</w:t>
      </w:r>
    </w:p>
    <w:p w14:paraId="68BD43A5" w14:textId="0CEF52DA" w:rsidR="003325C0" w:rsidRPr="008561AD" w:rsidRDefault="003325C0" w:rsidP="00CB684C">
      <w:pPr>
        <w:pStyle w:val="COMParaDecision"/>
        <w:ind w:left="1134" w:hanging="567"/>
      </w:pPr>
      <w:r>
        <w:t>Welcomes</w:t>
      </w:r>
      <w:r>
        <w:rPr>
          <w:u w:val="none"/>
        </w:rPr>
        <w:t xml:space="preserve"> the progress made in the </w:t>
      </w:r>
      <w:r w:rsidR="009C3A19">
        <w:rPr>
          <w:u w:val="none"/>
        </w:rPr>
        <w:t xml:space="preserve">reform of the </w:t>
      </w:r>
      <w:r>
        <w:rPr>
          <w:u w:val="none"/>
        </w:rPr>
        <w:t xml:space="preserve">periodic reporting </w:t>
      </w:r>
      <w:r w:rsidR="009C3A19">
        <w:rPr>
          <w:u w:val="none"/>
        </w:rPr>
        <w:t>mechanism</w:t>
      </w:r>
      <w:r w:rsidR="00627E3F">
        <w:rPr>
          <w:u w:val="none"/>
        </w:rPr>
        <w:t>;</w:t>
      </w:r>
    </w:p>
    <w:p w14:paraId="02FB3D92" w14:textId="68085527" w:rsidR="003325C0" w:rsidRDefault="009C3A19" w:rsidP="00CB684C">
      <w:pPr>
        <w:pStyle w:val="COMParaDecision"/>
        <w:ind w:left="1134" w:hanging="567"/>
      </w:pPr>
      <w:r>
        <w:t>Expresses its gratitude</w:t>
      </w:r>
      <w:r w:rsidR="003325C0">
        <w:rPr>
          <w:u w:val="none"/>
        </w:rPr>
        <w:t xml:space="preserve"> </w:t>
      </w:r>
      <w:r w:rsidR="00DA4F7F">
        <w:rPr>
          <w:u w:val="none"/>
        </w:rPr>
        <w:t xml:space="preserve">to </w:t>
      </w:r>
      <w:r w:rsidR="003325C0">
        <w:rPr>
          <w:u w:val="none"/>
        </w:rPr>
        <w:t>the government of</w:t>
      </w:r>
      <w:r w:rsidR="00A0724D">
        <w:rPr>
          <w:u w:val="none"/>
        </w:rPr>
        <w:t xml:space="preserve"> the</w:t>
      </w:r>
      <w:r w:rsidR="003325C0">
        <w:rPr>
          <w:u w:val="none"/>
        </w:rPr>
        <w:t xml:space="preserve"> Republic of Korea for </w:t>
      </w:r>
      <w:r>
        <w:rPr>
          <w:u w:val="none"/>
        </w:rPr>
        <w:t xml:space="preserve">its </w:t>
      </w:r>
      <w:r w:rsidR="003325C0">
        <w:rPr>
          <w:u w:val="none"/>
        </w:rPr>
        <w:t xml:space="preserve">contribution to supporting the </w:t>
      </w:r>
      <w:r>
        <w:rPr>
          <w:u w:val="none"/>
        </w:rPr>
        <w:t xml:space="preserve">reform </w:t>
      </w:r>
      <w:r w:rsidR="003325C0">
        <w:rPr>
          <w:u w:val="none"/>
        </w:rPr>
        <w:t xml:space="preserve">of the periodic reporting </w:t>
      </w:r>
      <w:r>
        <w:rPr>
          <w:u w:val="none"/>
        </w:rPr>
        <w:t>mechanism</w:t>
      </w:r>
      <w:r w:rsidR="003325C0">
        <w:rPr>
          <w:u w:val="none"/>
        </w:rPr>
        <w:t>;</w:t>
      </w:r>
    </w:p>
    <w:p w14:paraId="7B75CC46" w14:textId="77777777" w:rsidR="00AC2C37" w:rsidRPr="003325C0" w:rsidRDefault="00AC2C37" w:rsidP="00CB684C">
      <w:pPr>
        <w:pStyle w:val="COMParaDecision"/>
        <w:ind w:left="1134" w:hanging="567"/>
      </w:pPr>
      <w:r>
        <w:t>Requests</w:t>
      </w:r>
      <w:r w:rsidRPr="00C2402A">
        <w:rPr>
          <w:u w:val="none"/>
        </w:rPr>
        <w:t xml:space="preserve"> </w:t>
      </w:r>
      <w:r>
        <w:rPr>
          <w:u w:val="none"/>
        </w:rPr>
        <w:t xml:space="preserve">that the Secretariat </w:t>
      </w:r>
      <w:r>
        <w:rPr>
          <w:u w:val="none"/>
          <w:lang w:val="en-US"/>
        </w:rPr>
        <w:t xml:space="preserve">update </w:t>
      </w:r>
      <w:r w:rsidRPr="00920EFF">
        <w:rPr>
          <w:u w:val="none"/>
          <w:lang w:val="en-US"/>
        </w:rPr>
        <w:t xml:space="preserve">the Committee on the reform of the periodic reporting mechanism at its </w:t>
      </w:r>
      <w:r w:rsidRPr="00CB684C">
        <w:rPr>
          <w:u w:val="none"/>
        </w:rPr>
        <w:t>fourteenth</w:t>
      </w:r>
      <w:r>
        <w:rPr>
          <w:u w:val="none"/>
          <w:lang w:val="en-US"/>
        </w:rPr>
        <w:t xml:space="preserve"> </w:t>
      </w:r>
      <w:r w:rsidRPr="00920EFF">
        <w:rPr>
          <w:u w:val="none"/>
          <w:lang w:val="en-US"/>
        </w:rPr>
        <w:t>session</w:t>
      </w:r>
      <w:r>
        <w:rPr>
          <w:u w:val="none"/>
        </w:rPr>
        <w:t>;</w:t>
      </w:r>
    </w:p>
    <w:p w14:paraId="07DC60FB" w14:textId="1B767079" w:rsidR="00D908D3" w:rsidRPr="00CB684C" w:rsidRDefault="00627E3F" w:rsidP="00200B08">
      <w:pPr>
        <w:pStyle w:val="COMParaDecision"/>
        <w:ind w:left="1134" w:hanging="567"/>
        <w:rPr>
          <w:u w:val="none"/>
        </w:rPr>
      </w:pPr>
      <w:r w:rsidRPr="00CB684C">
        <w:rPr>
          <w:b/>
          <w:u w:val="none"/>
        </w:rPr>
        <w:t xml:space="preserve">Option </w:t>
      </w:r>
      <w:r w:rsidR="00EF7851" w:rsidRPr="00CB684C">
        <w:rPr>
          <w:b/>
          <w:u w:val="none"/>
        </w:rPr>
        <w:t>I</w:t>
      </w:r>
      <w:r w:rsidRPr="00CB684C">
        <w:rPr>
          <w:u w:val="none"/>
        </w:rPr>
        <w:t>:</w:t>
      </w:r>
      <w:r w:rsidR="00A36DFA" w:rsidRPr="00CB684C">
        <w:rPr>
          <w:u w:val="none"/>
        </w:rPr>
        <w:t xml:space="preserve"> </w:t>
      </w:r>
      <w:r w:rsidR="00D908D3" w:rsidRPr="00E3104E">
        <w:t>Decides</w:t>
      </w:r>
      <w:r w:rsidR="00D908D3" w:rsidRPr="00CB684C">
        <w:rPr>
          <w:u w:val="none"/>
        </w:rPr>
        <w:t xml:space="preserve"> to follow a regional reporting structure based on the Electoral </w:t>
      </w:r>
      <w:r w:rsidR="00E518C5" w:rsidRPr="00CB684C">
        <w:rPr>
          <w:u w:val="none"/>
        </w:rPr>
        <w:t xml:space="preserve">Groups </w:t>
      </w:r>
      <w:r w:rsidR="00D908D3" w:rsidRPr="00CB684C">
        <w:rPr>
          <w:u w:val="none"/>
        </w:rPr>
        <w:t xml:space="preserve">as defined in the Rules of Procedure of the General Conference </w:t>
      </w:r>
      <w:r w:rsidR="003E09E4">
        <w:rPr>
          <w:u w:val="none"/>
        </w:rPr>
        <w:t xml:space="preserve">of UNESCO </w:t>
      </w:r>
      <w:r w:rsidR="00D908D3" w:rsidRPr="00CB684C">
        <w:rPr>
          <w:u w:val="none"/>
        </w:rPr>
        <w:t xml:space="preserve">and </w:t>
      </w:r>
      <w:r w:rsidR="003E09E4">
        <w:rPr>
          <w:u w:val="none"/>
        </w:rPr>
        <w:t xml:space="preserve">to have </w:t>
      </w:r>
      <w:r w:rsidR="00D908D3" w:rsidRPr="00CB684C">
        <w:rPr>
          <w:u w:val="none"/>
        </w:rPr>
        <w:t>a six-year regional cycle of reporting with Electoral Group</w:t>
      </w:r>
      <w:r w:rsidR="00FD0512" w:rsidRPr="00CB684C">
        <w:rPr>
          <w:u w:val="none"/>
        </w:rPr>
        <w:t>s</w:t>
      </w:r>
      <w:r w:rsidR="00D908D3" w:rsidRPr="00CB684C">
        <w:rPr>
          <w:u w:val="none"/>
        </w:rPr>
        <w:t xml:space="preserve"> I and II reporting in two separate years;</w:t>
      </w:r>
    </w:p>
    <w:p w14:paraId="756DBB75" w14:textId="1590C457" w:rsidR="00D908D3" w:rsidRPr="00A36DFA" w:rsidRDefault="00A36DFA" w:rsidP="00CB684C">
      <w:pPr>
        <w:pStyle w:val="COMParaDecision"/>
        <w:numPr>
          <w:ilvl w:val="0"/>
          <w:numId w:val="0"/>
        </w:numPr>
        <w:ind w:left="1134"/>
      </w:pPr>
      <w:r w:rsidRPr="008561AD">
        <w:rPr>
          <w:b/>
          <w:u w:val="none"/>
        </w:rPr>
        <w:t xml:space="preserve">Option </w:t>
      </w:r>
      <w:r w:rsidR="00EF7851">
        <w:rPr>
          <w:b/>
          <w:u w:val="none"/>
        </w:rPr>
        <w:t>II</w:t>
      </w:r>
      <w:r w:rsidRPr="00E3104E">
        <w:rPr>
          <w:u w:val="none"/>
        </w:rPr>
        <w:t xml:space="preserve">: </w:t>
      </w:r>
      <w:r w:rsidR="00D908D3" w:rsidRPr="00DC0B55">
        <w:t>Decides</w:t>
      </w:r>
      <w:r w:rsidR="00D908D3" w:rsidRPr="00DC0B55">
        <w:rPr>
          <w:u w:val="none"/>
        </w:rPr>
        <w:t xml:space="preserve"> to </w:t>
      </w:r>
      <w:r w:rsidR="00D908D3">
        <w:rPr>
          <w:u w:val="none"/>
        </w:rPr>
        <w:t xml:space="preserve">follow a reporting structure </w:t>
      </w:r>
      <w:r w:rsidR="00E23212">
        <w:rPr>
          <w:u w:val="none"/>
        </w:rPr>
        <w:t xml:space="preserve">similar to the one adopted in the framework of the 1972 Convention </w:t>
      </w:r>
      <w:r w:rsidR="00E23212" w:rsidRPr="00D908D3">
        <w:rPr>
          <w:bCs/>
          <w:u w:val="none"/>
          <w:lang w:val="en-US"/>
        </w:rPr>
        <w:t xml:space="preserve">Concerning the Protection of the World Cultural and </w:t>
      </w:r>
      <w:r w:rsidR="00E23212" w:rsidRPr="00D908D3">
        <w:rPr>
          <w:bCs/>
          <w:u w:val="none"/>
          <w:lang w:val="en-US"/>
        </w:rPr>
        <w:lastRenderedPageBreak/>
        <w:t>Natural Heritage</w:t>
      </w:r>
      <w:r w:rsidR="00E23212" w:rsidDel="00E23212">
        <w:rPr>
          <w:u w:val="none"/>
        </w:rPr>
        <w:t xml:space="preserve"> </w:t>
      </w:r>
      <w:r w:rsidR="00D908D3">
        <w:rPr>
          <w:u w:val="none"/>
        </w:rPr>
        <w:t xml:space="preserve">based on regions as defined in </w:t>
      </w:r>
      <w:r w:rsidR="00D908D3" w:rsidRPr="00DA4F7F">
        <w:rPr>
          <w:u w:val="none"/>
          <w:lang w:val="en-US"/>
        </w:rPr>
        <w:t>Chapter</w:t>
      </w:r>
      <w:r w:rsidR="00D908D3">
        <w:rPr>
          <w:u w:val="none"/>
          <w:lang w:val="en-US"/>
        </w:rPr>
        <w:t> </w:t>
      </w:r>
      <w:r w:rsidR="00D908D3" w:rsidRPr="00DA4F7F">
        <w:rPr>
          <w:u w:val="none"/>
          <w:lang w:val="en-US"/>
        </w:rPr>
        <w:t xml:space="preserve">I of the UNESCO </w:t>
      </w:r>
      <w:r w:rsidR="00D908D3" w:rsidRPr="00CB684C">
        <w:rPr>
          <w:u w:val="none"/>
        </w:rPr>
        <w:t>Basic</w:t>
      </w:r>
      <w:r w:rsidR="00D908D3" w:rsidRPr="00DA4F7F">
        <w:rPr>
          <w:u w:val="none"/>
          <w:lang w:val="en-US"/>
        </w:rPr>
        <w:t xml:space="preserve"> Texts</w:t>
      </w:r>
      <w:r w:rsidR="00E23212">
        <w:rPr>
          <w:u w:val="none"/>
          <w:lang w:val="en-US"/>
        </w:rPr>
        <w:t>,</w:t>
      </w:r>
      <w:r w:rsidR="00D908D3" w:rsidRPr="00920EFF">
        <w:rPr>
          <w:u w:val="none"/>
          <w:lang w:val="en-US"/>
        </w:rPr>
        <w:t xml:space="preserve"> </w:t>
      </w:r>
      <w:r w:rsidR="00D908D3">
        <w:rPr>
          <w:u w:val="none"/>
        </w:rPr>
        <w:t xml:space="preserve">with </w:t>
      </w:r>
      <w:r w:rsidR="00D908D3" w:rsidRPr="00DC0B55">
        <w:rPr>
          <w:u w:val="none"/>
        </w:rPr>
        <w:t>Electoral Group</w:t>
      </w:r>
      <w:r w:rsidR="00D908D3">
        <w:rPr>
          <w:u w:val="none"/>
        </w:rPr>
        <w:t>s</w:t>
      </w:r>
      <w:r w:rsidR="00D908D3" w:rsidRPr="00DC0B55">
        <w:rPr>
          <w:u w:val="none"/>
        </w:rPr>
        <w:t xml:space="preserve"> I and II </w:t>
      </w:r>
      <w:r w:rsidR="00D908D3">
        <w:rPr>
          <w:u w:val="none"/>
        </w:rPr>
        <w:t xml:space="preserve">reporting together in the same year </w:t>
      </w:r>
      <w:r w:rsidR="006F0FE4">
        <w:rPr>
          <w:u w:val="none"/>
        </w:rPr>
        <w:t xml:space="preserve">as the </w:t>
      </w:r>
      <w:r w:rsidR="00D908D3">
        <w:rPr>
          <w:u w:val="none"/>
        </w:rPr>
        <w:t xml:space="preserve">region </w:t>
      </w:r>
      <w:r w:rsidR="006112CC">
        <w:rPr>
          <w:u w:val="none"/>
        </w:rPr>
        <w:t>‘</w:t>
      </w:r>
      <w:r w:rsidR="00D908D3">
        <w:rPr>
          <w:u w:val="none"/>
        </w:rPr>
        <w:t>Europe</w:t>
      </w:r>
      <w:r w:rsidR="006112CC">
        <w:rPr>
          <w:u w:val="none"/>
        </w:rPr>
        <w:t>’</w:t>
      </w:r>
      <w:r w:rsidR="00D908D3">
        <w:rPr>
          <w:u w:val="none"/>
        </w:rPr>
        <w:t>;</w:t>
      </w:r>
    </w:p>
    <w:p w14:paraId="37083F20" w14:textId="7F6ECDE4" w:rsidR="00D95C4C" w:rsidRPr="00BD3EE7" w:rsidRDefault="003325C0" w:rsidP="00CB684C">
      <w:pPr>
        <w:pStyle w:val="COMParaDecision"/>
        <w:ind w:left="1134" w:hanging="567"/>
        <w:rPr>
          <w:u w:val="none"/>
        </w:rPr>
      </w:pPr>
      <w:r>
        <w:t>Also decides</w:t>
      </w:r>
      <w:r w:rsidR="007D26DD" w:rsidRPr="00BD3EE7">
        <w:rPr>
          <w:u w:val="none"/>
        </w:rPr>
        <w:t xml:space="preserve"> to </w:t>
      </w:r>
      <w:r w:rsidR="00D908D3" w:rsidRPr="00BD3EE7">
        <w:rPr>
          <w:u w:val="none"/>
        </w:rPr>
        <w:t xml:space="preserve">adopt </w:t>
      </w:r>
      <w:r w:rsidR="00324205" w:rsidRPr="00BD3EE7">
        <w:rPr>
          <w:u w:val="none"/>
        </w:rPr>
        <w:t xml:space="preserve">the </w:t>
      </w:r>
      <w:r w:rsidR="00D908D3" w:rsidRPr="00BD3EE7">
        <w:rPr>
          <w:u w:val="none"/>
        </w:rPr>
        <w:t xml:space="preserve">following calendar </w:t>
      </w:r>
      <w:r w:rsidR="00324205" w:rsidRPr="00BD3EE7">
        <w:rPr>
          <w:u w:val="none"/>
        </w:rPr>
        <w:t xml:space="preserve">for the regional cycle of reporting </w:t>
      </w:r>
      <w:r w:rsidR="00D908D3" w:rsidRPr="00BD3EE7">
        <w:rPr>
          <w:u w:val="none"/>
        </w:rPr>
        <w:t>under the 2003 Convention</w:t>
      </w:r>
      <w:r w:rsidR="00324205" w:rsidRPr="007316E4">
        <w:rPr>
          <w:u w:val="none"/>
        </w:rPr>
        <w:t>:</w:t>
      </w:r>
    </w:p>
    <w:p w14:paraId="526A7A9A" w14:textId="50CCC355" w:rsidR="00A019D3" w:rsidRDefault="00A019D3" w:rsidP="00E461BB">
      <w:pPr>
        <w:pStyle w:val="COMPara"/>
        <w:numPr>
          <w:ilvl w:val="1"/>
          <w:numId w:val="24"/>
        </w:numPr>
        <w:spacing w:before="120"/>
        <w:ind w:left="1701" w:hanging="567"/>
        <w:jc w:val="both"/>
      </w:pPr>
      <w:r>
        <w:t xml:space="preserve">2020: </w:t>
      </w:r>
      <w:r w:rsidR="00D908D3" w:rsidRPr="00C37886">
        <w:rPr>
          <w:highlight w:val="yellow"/>
        </w:rPr>
        <w:t>XXX</w:t>
      </w:r>
    </w:p>
    <w:p w14:paraId="59EE46D4" w14:textId="5A6E7F66" w:rsidR="00A019D3" w:rsidRDefault="00A019D3" w:rsidP="00E461BB">
      <w:pPr>
        <w:pStyle w:val="COMPara"/>
        <w:numPr>
          <w:ilvl w:val="1"/>
          <w:numId w:val="24"/>
        </w:numPr>
        <w:spacing w:before="120"/>
        <w:ind w:left="1701" w:hanging="567"/>
        <w:jc w:val="both"/>
      </w:pPr>
      <w:r>
        <w:t xml:space="preserve">2021: </w:t>
      </w:r>
      <w:r w:rsidR="00D908D3" w:rsidRPr="00C37886">
        <w:rPr>
          <w:highlight w:val="yellow"/>
        </w:rPr>
        <w:t>XXX</w:t>
      </w:r>
    </w:p>
    <w:p w14:paraId="25200789" w14:textId="2AED558B" w:rsidR="00D908D3" w:rsidRDefault="00A019D3" w:rsidP="00E461BB">
      <w:pPr>
        <w:pStyle w:val="COMPara"/>
        <w:numPr>
          <w:ilvl w:val="1"/>
          <w:numId w:val="24"/>
        </w:numPr>
        <w:spacing w:before="120"/>
        <w:ind w:left="1701" w:hanging="567"/>
        <w:jc w:val="both"/>
      </w:pPr>
      <w:r>
        <w:t xml:space="preserve">2022: </w:t>
      </w:r>
      <w:r w:rsidR="00D908D3" w:rsidRPr="00C37886">
        <w:rPr>
          <w:highlight w:val="yellow"/>
        </w:rPr>
        <w:t>XXX</w:t>
      </w:r>
    </w:p>
    <w:p w14:paraId="6E59F595" w14:textId="7ABB2889" w:rsidR="00A019D3" w:rsidRDefault="00A019D3" w:rsidP="00E461BB">
      <w:pPr>
        <w:pStyle w:val="COMPara"/>
        <w:numPr>
          <w:ilvl w:val="1"/>
          <w:numId w:val="24"/>
        </w:numPr>
        <w:spacing w:before="120"/>
        <w:ind w:left="1701" w:hanging="567"/>
        <w:jc w:val="both"/>
      </w:pPr>
      <w:r>
        <w:t xml:space="preserve">2023: </w:t>
      </w:r>
      <w:r w:rsidR="00D908D3" w:rsidRPr="00C37886">
        <w:rPr>
          <w:highlight w:val="yellow"/>
        </w:rPr>
        <w:t>XXX</w:t>
      </w:r>
    </w:p>
    <w:p w14:paraId="0C2F557C" w14:textId="790F100B" w:rsidR="00A019D3" w:rsidRDefault="00A019D3" w:rsidP="00E461BB">
      <w:pPr>
        <w:pStyle w:val="COMPara"/>
        <w:numPr>
          <w:ilvl w:val="1"/>
          <w:numId w:val="24"/>
        </w:numPr>
        <w:spacing w:before="120"/>
        <w:ind w:left="1701" w:hanging="567"/>
        <w:jc w:val="both"/>
      </w:pPr>
      <w:r>
        <w:t xml:space="preserve">2024: </w:t>
      </w:r>
      <w:r w:rsidR="00D908D3" w:rsidRPr="00C37886">
        <w:rPr>
          <w:highlight w:val="yellow"/>
        </w:rPr>
        <w:t>XXX</w:t>
      </w:r>
    </w:p>
    <w:p w14:paraId="0EEF2F5F" w14:textId="51E77500" w:rsidR="00A019D3" w:rsidRPr="00A019D3" w:rsidRDefault="00A019D3" w:rsidP="00E461BB">
      <w:pPr>
        <w:pStyle w:val="COMPara"/>
        <w:numPr>
          <w:ilvl w:val="1"/>
          <w:numId w:val="24"/>
        </w:numPr>
        <w:spacing w:before="120"/>
        <w:ind w:left="1701" w:hanging="567"/>
        <w:jc w:val="both"/>
      </w:pPr>
      <w:r>
        <w:t xml:space="preserve">2025: </w:t>
      </w:r>
      <w:r w:rsidR="00D908D3" w:rsidRPr="00C37886">
        <w:rPr>
          <w:highlight w:val="yellow"/>
        </w:rPr>
        <w:t>XXX</w:t>
      </w:r>
    </w:p>
    <w:p w14:paraId="53B2588E" w14:textId="5ADC9829" w:rsidR="00C2402A" w:rsidRPr="00E3104E" w:rsidRDefault="003325C0" w:rsidP="00CB684C">
      <w:pPr>
        <w:pStyle w:val="COMParaDecision"/>
        <w:ind w:left="1134" w:hanging="567"/>
        <w:rPr>
          <w:u w:val="none"/>
        </w:rPr>
      </w:pPr>
      <w:r>
        <w:t>T</w:t>
      </w:r>
      <w:r w:rsidR="003E25A8">
        <w:t>akes note</w:t>
      </w:r>
      <w:r w:rsidR="003E25A8" w:rsidRPr="00E3104E">
        <w:rPr>
          <w:u w:val="none"/>
        </w:rPr>
        <w:t xml:space="preserve"> that </w:t>
      </w:r>
      <w:r w:rsidR="00D908D3" w:rsidRPr="00E3104E">
        <w:rPr>
          <w:u w:val="none"/>
        </w:rPr>
        <w:t xml:space="preserve">States Parties from </w:t>
      </w:r>
      <w:r w:rsidR="003E25A8" w:rsidRPr="00E3104E">
        <w:rPr>
          <w:u w:val="none"/>
        </w:rPr>
        <w:t xml:space="preserve">the </w:t>
      </w:r>
      <w:r w:rsidR="003E25A8" w:rsidRPr="00C37886">
        <w:rPr>
          <w:highlight w:val="yellow"/>
          <w:u w:val="none"/>
        </w:rPr>
        <w:t>XXX</w:t>
      </w:r>
      <w:r w:rsidR="003E25A8" w:rsidRPr="00E3104E">
        <w:rPr>
          <w:u w:val="none"/>
        </w:rPr>
        <w:t xml:space="preserve"> region</w:t>
      </w:r>
      <w:r w:rsidR="00D908D3" w:rsidRPr="00E3104E">
        <w:rPr>
          <w:u w:val="none"/>
        </w:rPr>
        <w:t>/Electoral Group</w:t>
      </w:r>
      <w:r w:rsidR="003E25A8" w:rsidRPr="00E3104E">
        <w:rPr>
          <w:u w:val="none"/>
        </w:rPr>
        <w:t xml:space="preserve"> </w:t>
      </w:r>
      <w:r w:rsidR="00D908D3" w:rsidRPr="00C37886">
        <w:rPr>
          <w:highlight w:val="yellow"/>
          <w:u w:val="none"/>
        </w:rPr>
        <w:t>XXX</w:t>
      </w:r>
      <w:r w:rsidR="00D908D3" w:rsidRPr="00E3104E">
        <w:rPr>
          <w:u w:val="none"/>
        </w:rPr>
        <w:t xml:space="preserve"> </w:t>
      </w:r>
      <w:r w:rsidR="003E25A8" w:rsidRPr="00E3104E">
        <w:rPr>
          <w:u w:val="none"/>
        </w:rPr>
        <w:t>will submit the</w:t>
      </w:r>
      <w:r w:rsidR="00E518C5">
        <w:rPr>
          <w:u w:val="none"/>
        </w:rPr>
        <w:t>ir</w:t>
      </w:r>
      <w:r w:rsidR="003E25A8" w:rsidRPr="00E3104E">
        <w:rPr>
          <w:u w:val="none"/>
        </w:rPr>
        <w:t xml:space="preserve"> periodic reports on the implementation of the </w:t>
      </w:r>
      <w:r w:rsidR="00D908D3" w:rsidRPr="00E3104E">
        <w:rPr>
          <w:u w:val="none"/>
        </w:rPr>
        <w:t>2003 </w:t>
      </w:r>
      <w:r w:rsidR="003E25A8" w:rsidRPr="00E3104E">
        <w:rPr>
          <w:u w:val="none"/>
        </w:rPr>
        <w:t xml:space="preserve">Convention and on the status of elements inscribed on the Representative List </w:t>
      </w:r>
      <w:r w:rsidR="00E518C5">
        <w:rPr>
          <w:u w:val="none"/>
        </w:rPr>
        <w:t xml:space="preserve">of the Intangible Cultural Heritage of Humanity </w:t>
      </w:r>
      <w:r w:rsidR="003E25A8" w:rsidRPr="00E3104E">
        <w:rPr>
          <w:u w:val="none"/>
        </w:rPr>
        <w:t>by 15 December 2020 for examination by the Committee at its sixteenth session in 2021</w:t>
      </w:r>
      <w:r w:rsidR="00D908D3" w:rsidRPr="00E3104E">
        <w:rPr>
          <w:u w:val="none"/>
        </w:rPr>
        <w:t>.</w:t>
      </w:r>
      <w:r w:rsidR="00C2402A" w:rsidRPr="00E3104E">
        <w:rPr>
          <w:u w:val="none"/>
        </w:rPr>
        <w:br w:type="page"/>
      </w:r>
    </w:p>
    <w:p w14:paraId="7BFC2B08" w14:textId="1FC855E9" w:rsidR="0057439C" w:rsidRPr="008C6EAC" w:rsidRDefault="00C2402A" w:rsidP="00215F45">
      <w:pPr>
        <w:pStyle w:val="COMParaDecision"/>
        <w:numPr>
          <w:ilvl w:val="0"/>
          <w:numId w:val="0"/>
        </w:numPr>
        <w:jc w:val="center"/>
        <w:rPr>
          <w:b/>
        </w:rPr>
      </w:pPr>
      <w:r w:rsidRPr="008C6EAC">
        <w:rPr>
          <w:b/>
        </w:rPr>
        <w:lastRenderedPageBreak/>
        <w:t>Annex</w:t>
      </w:r>
      <w:r w:rsidR="00E3104E" w:rsidRPr="008C6EAC">
        <w:rPr>
          <w:b/>
        </w:rPr>
        <w:t> </w:t>
      </w:r>
      <w:r w:rsidRPr="008C6EAC">
        <w:rPr>
          <w:b/>
        </w:rPr>
        <w:t>I</w:t>
      </w:r>
    </w:p>
    <w:p w14:paraId="1AA06EDB" w14:textId="1DE2F94A" w:rsidR="00F27651" w:rsidRPr="008C6EAC" w:rsidRDefault="00F27651" w:rsidP="00215F45">
      <w:pPr>
        <w:pStyle w:val="COMParaDecision"/>
        <w:numPr>
          <w:ilvl w:val="0"/>
          <w:numId w:val="0"/>
        </w:numPr>
        <w:spacing w:before="120" w:after="240"/>
        <w:jc w:val="center"/>
        <w:rPr>
          <w:b/>
          <w:u w:val="none"/>
          <w:lang w:val="en-US"/>
        </w:rPr>
      </w:pPr>
      <w:r w:rsidRPr="008C6EAC">
        <w:rPr>
          <w:b/>
          <w:u w:val="none"/>
        </w:rPr>
        <w:t xml:space="preserve">Classification of States Parties to the 2003 Convention </w:t>
      </w:r>
      <w:r w:rsidR="00C11A1D" w:rsidRPr="008C6EAC">
        <w:rPr>
          <w:b/>
          <w:u w:val="none"/>
        </w:rPr>
        <w:t xml:space="preserve">(as </w:t>
      </w:r>
      <w:r w:rsidR="00C11A1D" w:rsidRPr="008C6EAC">
        <w:rPr>
          <w:b/>
          <w:u w:val="none"/>
          <w:lang w:val="en-US"/>
        </w:rPr>
        <w:t>of 30 September 2018</w:t>
      </w:r>
      <w:proofErr w:type="gramStart"/>
      <w:r w:rsidR="00C11A1D" w:rsidRPr="008C6EAC">
        <w:rPr>
          <w:b/>
          <w:u w:val="none"/>
          <w:lang w:val="en-US"/>
        </w:rPr>
        <w:t>)</w:t>
      </w:r>
      <w:proofErr w:type="gramEnd"/>
      <w:r w:rsidR="00215F45" w:rsidRPr="008C6EAC">
        <w:rPr>
          <w:b/>
          <w:u w:val="none"/>
          <w:lang w:val="en-US"/>
        </w:rPr>
        <w:br/>
      </w:r>
      <w:r w:rsidRPr="008C6EAC">
        <w:rPr>
          <w:b/>
          <w:u w:val="none"/>
        </w:rPr>
        <w:t xml:space="preserve">based on </w:t>
      </w:r>
      <w:r w:rsidRPr="008C6EAC">
        <w:rPr>
          <w:b/>
          <w:u w:val="none"/>
          <w:lang w:val="en-US"/>
        </w:rPr>
        <w:t>Electoral Groups</w:t>
      </w:r>
      <w:r w:rsidR="00C11A1D" w:rsidRPr="008C6EAC">
        <w:rPr>
          <w:b/>
          <w:u w:val="none"/>
          <w:lang w:val="en-US"/>
        </w:rPr>
        <w:t xml:space="preserve"> </w:t>
      </w:r>
      <w:r w:rsidRPr="008C6EAC">
        <w:rPr>
          <w:b/>
          <w:u w:val="none"/>
          <w:lang w:val="en-US"/>
        </w:rPr>
        <w:t>(Appendix 2 o</w:t>
      </w:r>
      <w:r w:rsidR="00C11A1D" w:rsidRPr="008C6EAC">
        <w:rPr>
          <w:b/>
          <w:u w:val="none"/>
          <w:lang w:val="en-US"/>
        </w:rPr>
        <w:t>f the Rules of Procedure of the</w:t>
      </w:r>
      <w:r w:rsidR="00C11A1D" w:rsidRPr="008C6EAC">
        <w:rPr>
          <w:b/>
          <w:u w:val="none"/>
          <w:lang w:val="en-US"/>
        </w:rPr>
        <w:br/>
      </w:r>
      <w:r w:rsidRPr="008C6EAC">
        <w:rPr>
          <w:b/>
          <w:u w:val="none"/>
          <w:lang w:val="en-US"/>
        </w:rPr>
        <w:t>General Conference of UNESCO)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461"/>
        <w:gridCol w:w="7083"/>
      </w:tblGrid>
      <w:tr w:rsidR="00F27651" w:rsidRPr="00FC6234" w14:paraId="3EED96B7" w14:textId="77777777" w:rsidTr="00E461BB">
        <w:trPr>
          <w:jc w:val="center"/>
        </w:trPr>
        <w:tc>
          <w:tcPr>
            <w:tcW w:w="844" w:type="pct"/>
            <w:tcBorders>
              <w:bottom w:val="single" w:sz="4" w:space="0" w:color="auto"/>
            </w:tcBorders>
            <w:shd w:val="clear" w:color="auto" w:fill="F3F3F3"/>
            <w:vAlign w:val="center"/>
          </w:tcPr>
          <w:p w14:paraId="6684F052" w14:textId="6433C93B" w:rsidR="00F27651" w:rsidRPr="008C6EAC" w:rsidRDefault="00314522" w:rsidP="00215F45">
            <w:pPr>
              <w:pStyle w:val="Marge"/>
              <w:spacing w:before="240"/>
              <w:rPr>
                <w:rFonts w:cs="Arial"/>
                <w:b/>
                <w:spacing w:val="-3"/>
                <w:szCs w:val="22"/>
                <w:lang w:val="en-GB"/>
              </w:rPr>
            </w:pPr>
            <w:r w:rsidRPr="008C6EAC">
              <w:rPr>
                <w:b/>
                <w:szCs w:val="22"/>
                <w:lang w:val="en-GB"/>
              </w:rPr>
              <w:t xml:space="preserve">Electoral </w:t>
            </w:r>
            <w:r w:rsidR="00F27651" w:rsidRPr="008C6EAC">
              <w:rPr>
                <w:b/>
                <w:szCs w:val="22"/>
                <w:lang w:val="en-GB"/>
              </w:rPr>
              <w:t>Group</w:t>
            </w:r>
            <w:r w:rsidR="00215F45" w:rsidRPr="008C6EAC">
              <w:rPr>
                <w:b/>
                <w:szCs w:val="22"/>
                <w:lang w:val="en-GB"/>
              </w:rPr>
              <w:t> </w:t>
            </w:r>
            <w:r w:rsidR="00F27651" w:rsidRPr="008C6EAC">
              <w:rPr>
                <w:b/>
                <w:szCs w:val="22"/>
                <w:lang w:val="en-GB"/>
              </w:rPr>
              <w:t>I</w:t>
            </w:r>
          </w:p>
        </w:tc>
        <w:tc>
          <w:tcPr>
            <w:tcW w:w="251" w:type="pct"/>
            <w:vAlign w:val="center"/>
          </w:tcPr>
          <w:p w14:paraId="150465D7" w14:textId="77777777" w:rsidR="00F27651" w:rsidRPr="008C6EAC" w:rsidRDefault="00F27651" w:rsidP="00517A25">
            <w:pPr>
              <w:pStyle w:val="Marge"/>
              <w:spacing w:before="60" w:after="60"/>
              <w:rPr>
                <w:szCs w:val="22"/>
                <w:lang w:val="en-GB"/>
              </w:rPr>
            </w:pPr>
            <w:r w:rsidRPr="008C6EAC">
              <w:rPr>
                <w:szCs w:val="22"/>
                <w:lang w:val="en-GB"/>
              </w:rPr>
              <w:t>22</w:t>
            </w:r>
          </w:p>
        </w:tc>
        <w:tc>
          <w:tcPr>
            <w:tcW w:w="3905" w:type="pct"/>
            <w:vAlign w:val="center"/>
          </w:tcPr>
          <w:p w14:paraId="64C399BB" w14:textId="77777777" w:rsidR="00F27651" w:rsidRPr="008C6EAC" w:rsidRDefault="00F27651" w:rsidP="00517A25">
            <w:pPr>
              <w:pStyle w:val="Marge"/>
              <w:spacing w:before="60" w:after="60"/>
              <w:rPr>
                <w:rFonts w:cs="Arial"/>
                <w:spacing w:val="-3"/>
                <w:szCs w:val="22"/>
                <w:lang w:val="en-GB"/>
              </w:rPr>
            </w:pPr>
            <w:r w:rsidRPr="008C6EAC">
              <w:rPr>
                <w:szCs w:val="22"/>
                <w:lang w:val="en-GB"/>
              </w:rPr>
              <w:t>Andorra, Austria, Belgium, Cyprus, Denmark, Finland, France, Germany, Greece, Iceland, Ireland, Italy, Luxembourg, Malta, Monaco, Netherlands, Norway, Portugal, Spain, Sweden, Switzerland, Turkey</w:t>
            </w:r>
          </w:p>
        </w:tc>
      </w:tr>
      <w:tr w:rsidR="00F27651" w:rsidRPr="00FC6234" w14:paraId="50896880" w14:textId="77777777" w:rsidTr="00E461BB">
        <w:trPr>
          <w:jc w:val="center"/>
        </w:trPr>
        <w:tc>
          <w:tcPr>
            <w:tcW w:w="844" w:type="pct"/>
            <w:tcBorders>
              <w:top w:val="single" w:sz="4" w:space="0" w:color="auto"/>
              <w:bottom w:val="single" w:sz="4" w:space="0" w:color="auto"/>
            </w:tcBorders>
            <w:shd w:val="clear" w:color="auto" w:fill="F3F3F3"/>
            <w:vAlign w:val="center"/>
          </w:tcPr>
          <w:p w14:paraId="3BBBC704" w14:textId="754B6793" w:rsidR="00F27651" w:rsidRPr="008C6EAC" w:rsidRDefault="00314522" w:rsidP="00517A25">
            <w:pPr>
              <w:pStyle w:val="Marge"/>
              <w:spacing w:before="240"/>
              <w:rPr>
                <w:rFonts w:cs="Arial"/>
                <w:b/>
                <w:spacing w:val="-3"/>
                <w:szCs w:val="22"/>
                <w:lang w:val="en-GB"/>
              </w:rPr>
            </w:pPr>
            <w:r w:rsidRPr="008C6EAC">
              <w:rPr>
                <w:b/>
                <w:szCs w:val="22"/>
                <w:lang w:val="en-GB"/>
              </w:rPr>
              <w:t>Electoral Group </w:t>
            </w:r>
            <w:r w:rsidR="00F27651" w:rsidRPr="008C6EAC">
              <w:rPr>
                <w:b/>
                <w:szCs w:val="22"/>
                <w:lang w:val="en-GB"/>
              </w:rPr>
              <w:t>II</w:t>
            </w:r>
          </w:p>
        </w:tc>
        <w:tc>
          <w:tcPr>
            <w:tcW w:w="251" w:type="pct"/>
            <w:vAlign w:val="center"/>
          </w:tcPr>
          <w:p w14:paraId="2DCECACE" w14:textId="77777777" w:rsidR="00F27651" w:rsidRPr="008C6EAC" w:rsidRDefault="00F27651" w:rsidP="00517A25">
            <w:pPr>
              <w:pStyle w:val="Marge"/>
              <w:spacing w:before="60" w:after="60"/>
              <w:rPr>
                <w:szCs w:val="22"/>
                <w:lang w:val="en-GB"/>
              </w:rPr>
            </w:pPr>
            <w:r w:rsidRPr="008C6EAC">
              <w:rPr>
                <w:szCs w:val="22"/>
                <w:lang w:val="en-GB"/>
              </w:rPr>
              <w:t>24</w:t>
            </w:r>
          </w:p>
        </w:tc>
        <w:tc>
          <w:tcPr>
            <w:tcW w:w="3905" w:type="pct"/>
            <w:vAlign w:val="center"/>
          </w:tcPr>
          <w:p w14:paraId="71471F51" w14:textId="77777777" w:rsidR="00F27651" w:rsidRPr="008C6EAC" w:rsidRDefault="00F27651" w:rsidP="00517A25">
            <w:pPr>
              <w:pStyle w:val="Marge"/>
              <w:spacing w:before="60" w:after="60"/>
              <w:rPr>
                <w:rFonts w:cs="Arial"/>
                <w:spacing w:val="-3"/>
                <w:szCs w:val="22"/>
                <w:lang w:val="en-GB"/>
              </w:rPr>
            </w:pPr>
            <w:r w:rsidRPr="008C6EAC">
              <w:rPr>
                <w:szCs w:val="22"/>
                <w:lang w:val="en-GB"/>
              </w:rPr>
              <w:t xml:space="preserve">Albania, Armenia, Azerbaijan, Belarus, Bosnia and Herzegovina, Bulgaria, Croatia, </w:t>
            </w:r>
            <w:proofErr w:type="spellStart"/>
            <w:r w:rsidRPr="008C6EAC">
              <w:rPr>
                <w:szCs w:val="22"/>
                <w:lang w:val="en-GB"/>
              </w:rPr>
              <w:t>Czechia</w:t>
            </w:r>
            <w:proofErr w:type="spellEnd"/>
            <w:r w:rsidRPr="008C6EAC">
              <w:rPr>
                <w:szCs w:val="22"/>
                <w:lang w:val="en-GB"/>
              </w:rPr>
              <w:t>, Estonia, Georgia, Hungary, Latvia, Lithuania, Montenegro, Poland, Republic of Moldova, Romania, Serbia, Slovakia, Slovenia, Tajikistan, the former Yugoslav Republic of Macedonia, Ukraine, Uzbekistan</w:t>
            </w:r>
          </w:p>
        </w:tc>
      </w:tr>
      <w:tr w:rsidR="00F27651" w:rsidRPr="00FC6234" w14:paraId="0B20E771" w14:textId="77777777" w:rsidTr="00E461BB">
        <w:trPr>
          <w:jc w:val="center"/>
        </w:trPr>
        <w:tc>
          <w:tcPr>
            <w:tcW w:w="844" w:type="pct"/>
            <w:tcBorders>
              <w:top w:val="single" w:sz="4" w:space="0" w:color="auto"/>
              <w:bottom w:val="single" w:sz="4" w:space="0" w:color="auto"/>
            </w:tcBorders>
            <w:shd w:val="clear" w:color="auto" w:fill="F3F3F3"/>
            <w:vAlign w:val="center"/>
          </w:tcPr>
          <w:p w14:paraId="427ADCED" w14:textId="2504970C" w:rsidR="00F27651" w:rsidRPr="008C6EAC" w:rsidRDefault="00314522" w:rsidP="00517A25">
            <w:pPr>
              <w:pStyle w:val="Marge"/>
              <w:spacing w:before="240"/>
              <w:rPr>
                <w:rFonts w:cs="Arial"/>
                <w:b/>
                <w:spacing w:val="-3"/>
                <w:szCs w:val="22"/>
                <w:lang w:val="en-GB"/>
              </w:rPr>
            </w:pPr>
            <w:r w:rsidRPr="008C6EAC">
              <w:rPr>
                <w:b/>
                <w:szCs w:val="22"/>
                <w:lang w:val="en-GB"/>
              </w:rPr>
              <w:t>Electoral Group </w:t>
            </w:r>
            <w:r w:rsidR="00F27651" w:rsidRPr="008C6EAC">
              <w:rPr>
                <w:b/>
                <w:szCs w:val="22"/>
                <w:lang w:val="en-GB"/>
              </w:rPr>
              <w:t>III</w:t>
            </w:r>
          </w:p>
        </w:tc>
        <w:tc>
          <w:tcPr>
            <w:tcW w:w="251" w:type="pct"/>
            <w:vAlign w:val="center"/>
          </w:tcPr>
          <w:p w14:paraId="7E7A558C" w14:textId="77777777" w:rsidR="00F27651" w:rsidRPr="008C6EAC" w:rsidRDefault="00F27651" w:rsidP="00517A25">
            <w:pPr>
              <w:pStyle w:val="Marge"/>
              <w:spacing w:before="60" w:after="60"/>
              <w:rPr>
                <w:szCs w:val="22"/>
                <w:lang w:val="en-GB"/>
              </w:rPr>
            </w:pPr>
            <w:r w:rsidRPr="008C6EAC">
              <w:rPr>
                <w:szCs w:val="22"/>
                <w:lang w:val="en-GB"/>
              </w:rPr>
              <w:t>32</w:t>
            </w:r>
          </w:p>
        </w:tc>
        <w:tc>
          <w:tcPr>
            <w:tcW w:w="3905" w:type="pct"/>
            <w:vAlign w:val="center"/>
          </w:tcPr>
          <w:p w14:paraId="3630D9D1" w14:textId="77777777" w:rsidR="00F27651" w:rsidRPr="008C6EAC" w:rsidRDefault="00F27651" w:rsidP="00517A25">
            <w:pPr>
              <w:pStyle w:val="Marge"/>
              <w:spacing w:before="60" w:after="60"/>
              <w:rPr>
                <w:rFonts w:cs="Arial"/>
                <w:spacing w:val="-3"/>
                <w:szCs w:val="22"/>
                <w:lang w:val="es-ES"/>
              </w:rPr>
            </w:pPr>
            <w:r w:rsidRPr="008C6EAC">
              <w:rPr>
                <w:szCs w:val="22"/>
                <w:lang w:val="es-ES"/>
              </w:rPr>
              <w:t>Antigua and Barbuda, Argentina, Bahamas, Barbados, Belize, Bolivia (</w:t>
            </w:r>
            <w:proofErr w:type="spellStart"/>
            <w:r w:rsidRPr="008C6EAC">
              <w:rPr>
                <w:szCs w:val="22"/>
                <w:lang w:val="es-ES"/>
              </w:rPr>
              <w:t>Plurinational</w:t>
            </w:r>
            <w:proofErr w:type="spellEnd"/>
            <w:r w:rsidRPr="008C6EAC">
              <w:rPr>
                <w:szCs w:val="22"/>
                <w:lang w:val="es-ES"/>
              </w:rPr>
              <w:t xml:space="preserve"> </w:t>
            </w:r>
            <w:proofErr w:type="spellStart"/>
            <w:r w:rsidRPr="008C6EAC">
              <w:rPr>
                <w:szCs w:val="22"/>
                <w:lang w:val="es-ES"/>
              </w:rPr>
              <w:t>State</w:t>
            </w:r>
            <w:proofErr w:type="spellEnd"/>
            <w:r w:rsidRPr="008C6EAC">
              <w:rPr>
                <w:szCs w:val="22"/>
                <w:lang w:val="es-ES"/>
              </w:rPr>
              <w:t xml:space="preserve"> of), </w:t>
            </w:r>
            <w:proofErr w:type="spellStart"/>
            <w:r w:rsidRPr="008C6EAC">
              <w:rPr>
                <w:szCs w:val="22"/>
                <w:lang w:val="es-ES"/>
              </w:rPr>
              <w:t>Brazil</w:t>
            </w:r>
            <w:proofErr w:type="spellEnd"/>
            <w:r w:rsidRPr="008C6EAC">
              <w:rPr>
                <w:szCs w:val="22"/>
                <w:lang w:val="es-ES"/>
              </w:rPr>
              <w:t xml:space="preserve">, Chile, Colombia, Costa Rica, Cuba, Dominica, Dominican Republic, Ecuador, El Salvador, </w:t>
            </w:r>
            <w:proofErr w:type="spellStart"/>
            <w:r w:rsidRPr="008C6EAC">
              <w:rPr>
                <w:szCs w:val="22"/>
                <w:lang w:val="es-ES"/>
              </w:rPr>
              <w:t>Grenada</w:t>
            </w:r>
            <w:proofErr w:type="spellEnd"/>
            <w:r w:rsidRPr="008C6EAC">
              <w:rPr>
                <w:szCs w:val="22"/>
                <w:lang w:val="es-ES"/>
              </w:rPr>
              <w:t xml:space="preserve">, Guatemala, </w:t>
            </w:r>
            <w:proofErr w:type="spellStart"/>
            <w:r w:rsidRPr="008C6EAC">
              <w:rPr>
                <w:szCs w:val="22"/>
                <w:lang w:val="es-ES"/>
              </w:rPr>
              <w:t>Haiti</w:t>
            </w:r>
            <w:proofErr w:type="spellEnd"/>
            <w:r w:rsidRPr="008C6EAC">
              <w:rPr>
                <w:szCs w:val="22"/>
                <w:lang w:val="es-ES"/>
              </w:rPr>
              <w:t xml:space="preserve">, Honduras, Jamaica, </w:t>
            </w:r>
            <w:proofErr w:type="spellStart"/>
            <w:r w:rsidRPr="008C6EAC">
              <w:rPr>
                <w:szCs w:val="22"/>
                <w:lang w:val="es-ES"/>
              </w:rPr>
              <w:t>Mexico</w:t>
            </w:r>
            <w:proofErr w:type="spellEnd"/>
            <w:r w:rsidRPr="008C6EAC">
              <w:rPr>
                <w:szCs w:val="22"/>
                <w:lang w:val="es-ES"/>
              </w:rPr>
              <w:t xml:space="preserve">, Nicaragua, Panama, Paraguay, </w:t>
            </w:r>
            <w:proofErr w:type="spellStart"/>
            <w:r w:rsidRPr="008C6EAC">
              <w:rPr>
                <w:szCs w:val="22"/>
                <w:lang w:val="es-ES"/>
              </w:rPr>
              <w:t>Peru</w:t>
            </w:r>
            <w:proofErr w:type="spellEnd"/>
            <w:r w:rsidRPr="008C6EAC">
              <w:rPr>
                <w:szCs w:val="22"/>
                <w:lang w:val="es-ES"/>
              </w:rPr>
              <w:t xml:space="preserve">, Saint Kitts and Nevis, Saint Lucia, Saint Vincent and the </w:t>
            </w:r>
            <w:proofErr w:type="spellStart"/>
            <w:r w:rsidRPr="008C6EAC">
              <w:rPr>
                <w:szCs w:val="22"/>
                <w:lang w:val="es-ES"/>
              </w:rPr>
              <w:t>Grenadines</w:t>
            </w:r>
            <w:proofErr w:type="spellEnd"/>
            <w:r w:rsidRPr="008C6EAC">
              <w:rPr>
                <w:szCs w:val="22"/>
                <w:lang w:val="es-ES"/>
              </w:rPr>
              <w:t>, Suriname, Trinidad and Tobago, Uruguay, Venezuela (</w:t>
            </w:r>
            <w:proofErr w:type="spellStart"/>
            <w:r w:rsidRPr="008C6EAC">
              <w:rPr>
                <w:szCs w:val="22"/>
                <w:lang w:val="es-ES"/>
              </w:rPr>
              <w:t>Bolivarian</w:t>
            </w:r>
            <w:proofErr w:type="spellEnd"/>
            <w:r w:rsidRPr="008C6EAC">
              <w:rPr>
                <w:szCs w:val="22"/>
                <w:lang w:val="es-ES"/>
              </w:rPr>
              <w:t xml:space="preserve"> Republic of)</w:t>
            </w:r>
          </w:p>
        </w:tc>
      </w:tr>
      <w:tr w:rsidR="00F27651" w:rsidRPr="00FC6234" w14:paraId="17B86FFF" w14:textId="77777777" w:rsidTr="00E461BB">
        <w:trPr>
          <w:jc w:val="center"/>
        </w:trPr>
        <w:tc>
          <w:tcPr>
            <w:tcW w:w="844" w:type="pct"/>
            <w:tcBorders>
              <w:top w:val="single" w:sz="4" w:space="0" w:color="auto"/>
              <w:bottom w:val="single" w:sz="4" w:space="0" w:color="auto"/>
            </w:tcBorders>
            <w:shd w:val="clear" w:color="auto" w:fill="F3F3F3"/>
            <w:vAlign w:val="center"/>
          </w:tcPr>
          <w:p w14:paraId="085B9C97" w14:textId="215913B1" w:rsidR="00F27651" w:rsidRPr="008C6EAC" w:rsidRDefault="00314522" w:rsidP="00517A25">
            <w:pPr>
              <w:pStyle w:val="Marge"/>
              <w:spacing w:before="240"/>
              <w:rPr>
                <w:rFonts w:cs="Arial"/>
                <w:b/>
                <w:spacing w:val="-3"/>
                <w:szCs w:val="22"/>
                <w:lang w:val="en-GB"/>
              </w:rPr>
            </w:pPr>
            <w:r w:rsidRPr="008C6EAC">
              <w:rPr>
                <w:b/>
                <w:szCs w:val="22"/>
                <w:lang w:val="en-GB"/>
              </w:rPr>
              <w:t>Electoral Group </w:t>
            </w:r>
            <w:r w:rsidR="00F27651" w:rsidRPr="008C6EAC">
              <w:rPr>
                <w:b/>
                <w:szCs w:val="22"/>
                <w:lang w:val="en-GB"/>
              </w:rPr>
              <w:t>IV</w:t>
            </w:r>
          </w:p>
        </w:tc>
        <w:tc>
          <w:tcPr>
            <w:tcW w:w="251" w:type="pct"/>
            <w:vAlign w:val="center"/>
          </w:tcPr>
          <w:p w14:paraId="3D930BB9" w14:textId="1EA9D0C3" w:rsidR="00F27651" w:rsidRPr="008C6EAC" w:rsidRDefault="00314522" w:rsidP="00517A25">
            <w:pPr>
              <w:pStyle w:val="Marge"/>
              <w:spacing w:before="60" w:after="60"/>
              <w:rPr>
                <w:szCs w:val="22"/>
                <w:lang w:val="en-GB"/>
              </w:rPr>
            </w:pPr>
            <w:r w:rsidRPr="008C6EAC">
              <w:rPr>
                <w:szCs w:val="22"/>
                <w:lang w:val="en-GB"/>
              </w:rPr>
              <w:t>40</w:t>
            </w:r>
          </w:p>
        </w:tc>
        <w:tc>
          <w:tcPr>
            <w:tcW w:w="3905" w:type="pct"/>
            <w:vAlign w:val="center"/>
          </w:tcPr>
          <w:p w14:paraId="4D357AE5" w14:textId="7EB0894D" w:rsidR="00F27651" w:rsidRPr="008C6EAC" w:rsidRDefault="00F27651" w:rsidP="00517A25">
            <w:pPr>
              <w:pStyle w:val="Marge"/>
              <w:spacing w:before="60" w:after="60"/>
              <w:rPr>
                <w:rFonts w:cs="Arial"/>
                <w:spacing w:val="-3"/>
                <w:szCs w:val="22"/>
                <w:lang w:val="en-GB"/>
              </w:rPr>
            </w:pPr>
            <w:r w:rsidRPr="008C6EAC">
              <w:rPr>
                <w:szCs w:val="22"/>
                <w:lang w:val="en-GB"/>
              </w:rPr>
              <w:t xml:space="preserve">Afghanistan, Bangladesh, Bhutan, Brunei Darussalam, Cambodia, China, Cook Islands, Democratic People’s Republic of Korea, Fiji, India, Indonesia, Iran (Islamic Republic of), Japan, Kazakhstan, Kiribati, Kyrgyzstan, Lao People’s Democratic Republic, Malaysia, Marshall Islands, Micronesia (Federated States of), Mongolia, Myanmar, Nauru, Nepal, Pakistan, Palau, Papua New Guinea, Philippines, Republic of Korea, Samoa, Singapore, </w:t>
            </w:r>
            <w:r w:rsidR="00314522" w:rsidRPr="008C6EAC">
              <w:rPr>
                <w:szCs w:val="22"/>
                <w:lang w:val="en-GB"/>
              </w:rPr>
              <w:t xml:space="preserve">Solomon Islands, </w:t>
            </w:r>
            <w:r w:rsidRPr="008C6EAC">
              <w:rPr>
                <w:szCs w:val="22"/>
                <w:lang w:val="en-GB"/>
              </w:rPr>
              <w:t>Sri Lanka, Thailand, Timor-Leste, Tonga, Turkmenistan, Tuvalu, Vanuatu, Viet Nam</w:t>
            </w:r>
          </w:p>
        </w:tc>
      </w:tr>
      <w:tr w:rsidR="00F27651" w:rsidRPr="00FC6234" w14:paraId="1BEE3807" w14:textId="77777777" w:rsidTr="00E461BB">
        <w:trPr>
          <w:jc w:val="center"/>
        </w:trPr>
        <w:tc>
          <w:tcPr>
            <w:tcW w:w="844" w:type="pct"/>
            <w:tcBorders>
              <w:top w:val="single" w:sz="4" w:space="0" w:color="auto"/>
              <w:bottom w:val="single" w:sz="4" w:space="0" w:color="auto"/>
            </w:tcBorders>
            <w:shd w:val="clear" w:color="auto" w:fill="F3F3F3"/>
            <w:vAlign w:val="center"/>
          </w:tcPr>
          <w:p w14:paraId="19AD4415" w14:textId="6DC57821" w:rsidR="00F27651" w:rsidRPr="008C6EAC" w:rsidRDefault="00314522" w:rsidP="00517A25">
            <w:pPr>
              <w:pStyle w:val="Marge"/>
              <w:spacing w:before="240"/>
              <w:rPr>
                <w:rFonts w:cs="Arial"/>
                <w:b/>
                <w:spacing w:val="-3"/>
                <w:szCs w:val="22"/>
                <w:lang w:val="en-GB"/>
              </w:rPr>
            </w:pPr>
            <w:r w:rsidRPr="008C6EAC">
              <w:rPr>
                <w:b/>
                <w:szCs w:val="22"/>
                <w:lang w:val="en-GB"/>
              </w:rPr>
              <w:t>Electoral Group </w:t>
            </w:r>
            <w:r w:rsidR="00F27651" w:rsidRPr="008C6EAC">
              <w:rPr>
                <w:b/>
                <w:szCs w:val="22"/>
                <w:lang w:val="en-GB"/>
              </w:rPr>
              <w:t>V(a)</w:t>
            </w:r>
          </w:p>
        </w:tc>
        <w:tc>
          <w:tcPr>
            <w:tcW w:w="251" w:type="pct"/>
            <w:vAlign w:val="center"/>
          </w:tcPr>
          <w:p w14:paraId="2719A72E" w14:textId="77777777" w:rsidR="00F27651" w:rsidRPr="008C6EAC" w:rsidRDefault="00F27651" w:rsidP="00517A25">
            <w:pPr>
              <w:pStyle w:val="Marge"/>
              <w:spacing w:before="60" w:after="60"/>
              <w:rPr>
                <w:szCs w:val="22"/>
                <w:lang w:val="en-GB"/>
              </w:rPr>
            </w:pPr>
            <w:r w:rsidRPr="008C6EAC">
              <w:rPr>
                <w:szCs w:val="22"/>
                <w:lang w:val="en-GB"/>
              </w:rPr>
              <w:t>42</w:t>
            </w:r>
          </w:p>
        </w:tc>
        <w:tc>
          <w:tcPr>
            <w:tcW w:w="3905" w:type="pct"/>
            <w:vAlign w:val="center"/>
          </w:tcPr>
          <w:p w14:paraId="1E2F697A" w14:textId="50400B06" w:rsidR="00F27651" w:rsidRPr="008C6EAC" w:rsidRDefault="00F27651" w:rsidP="00D73AE7">
            <w:pPr>
              <w:pStyle w:val="Marge"/>
              <w:spacing w:before="60" w:after="60"/>
              <w:rPr>
                <w:rFonts w:cs="Arial"/>
                <w:spacing w:val="-3"/>
                <w:szCs w:val="22"/>
                <w:lang w:val="en-GB"/>
              </w:rPr>
            </w:pPr>
            <w:r w:rsidRPr="008C6EAC">
              <w:rPr>
                <w:szCs w:val="22"/>
                <w:lang w:val="en-GB"/>
              </w:rPr>
              <w:t>Benin, Botswana, Burkina Faso, Burundi, Cabo Verde, Cameroon, Central African Republic, Chad, Comoros, Congo, Côte d’Ivoire, Democratic Republic of the Congo, Djibouti,</w:t>
            </w:r>
            <w:r w:rsidR="00D95DF8" w:rsidRPr="008C6EAC">
              <w:rPr>
                <w:szCs w:val="22"/>
                <w:lang w:val="en-GB"/>
              </w:rPr>
              <w:t xml:space="preserve"> </w:t>
            </w:r>
            <w:r w:rsidRPr="008C6EAC">
              <w:rPr>
                <w:szCs w:val="22"/>
                <w:lang w:val="en-GB"/>
              </w:rPr>
              <w:t xml:space="preserve">Equatorial Guinea, Eritrea, </w:t>
            </w:r>
            <w:proofErr w:type="spellStart"/>
            <w:r w:rsidR="00D95DF8" w:rsidRPr="008C6EAC">
              <w:rPr>
                <w:szCs w:val="22"/>
                <w:lang w:val="en-GB"/>
              </w:rPr>
              <w:t>Eswatini</w:t>
            </w:r>
            <w:proofErr w:type="spellEnd"/>
            <w:r w:rsidR="00D95DF8" w:rsidRPr="008C6EAC">
              <w:rPr>
                <w:szCs w:val="22"/>
                <w:lang w:val="en-GB"/>
              </w:rPr>
              <w:t xml:space="preserve">, </w:t>
            </w:r>
            <w:r w:rsidRPr="008C6EAC">
              <w:rPr>
                <w:szCs w:val="22"/>
                <w:lang w:val="en-GB"/>
              </w:rPr>
              <w:t>Ethiopia, Gabon, Gambia, Ghana, Guinea, Guinea-Bissau, Kenya, Lesotho, Madagascar, Malawi, Mali, Mauritius, Mozambique, Namibia, Niger, Nigeria, Rwanda, Sao Tome and Principe, Senegal, Seychelles, South Sudan, Togo, Uganda, United Republic of Tanzania, Zambia, Zimbabwe</w:t>
            </w:r>
          </w:p>
        </w:tc>
      </w:tr>
      <w:tr w:rsidR="00F27651" w:rsidRPr="00FC6234" w14:paraId="6333F5A2" w14:textId="77777777" w:rsidTr="00E461BB">
        <w:trPr>
          <w:jc w:val="center"/>
        </w:trPr>
        <w:tc>
          <w:tcPr>
            <w:tcW w:w="844" w:type="pct"/>
            <w:tcBorders>
              <w:top w:val="single" w:sz="4" w:space="0" w:color="auto"/>
              <w:bottom w:val="single" w:sz="4" w:space="0" w:color="auto"/>
            </w:tcBorders>
            <w:shd w:val="clear" w:color="auto" w:fill="F3F3F3"/>
            <w:vAlign w:val="center"/>
          </w:tcPr>
          <w:p w14:paraId="1CE81BB1" w14:textId="6F90179A" w:rsidR="00F27651" w:rsidRPr="008C6EAC" w:rsidRDefault="00314522" w:rsidP="00517A25">
            <w:pPr>
              <w:pStyle w:val="Marge"/>
              <w:spacing w:before="240"/>
              <w:rPr>
                <w:rFonts w:cs="Arial"/>
                <w:b/>
                <w:spacing w:val="-3"/>
                <w:szCs w:val="22"/>
                <w:lang w:val="en-GB"/>
              </w:rPr>
            </w:pPr>
            <w:r w:rsidRPr="008C6EAC">
              <w:rPr>
                <w:b/>
                <w:szCs w:val="22"/>
                <w:lang w:val="en-GB"/>
              </w:rPr>
              <w:t>Electoral Group </w:t>
            </w:r>
            <w:r w:rsidR="00F27651" w:rsidRPr="008C6EAC">
              <w:rPr>
                <w:b/>
                <w:szCs w:val="22"/>
                <w:lang w:val="en-GB"/>
              </w:rPr>
              <w:t>V(b)</w:t>
            </w:r>
          </w:p>
        </w:tc>
        <w:tc>
          <w:tcPr>
            <w:tcW w:w="251" w:type="pct"/>
            <w:vAlign w:val="center"/>
          </w:tcPr>
          <w:p w14:paraId="0F7B2328" w14:textId="77777777" w:rsidR="00F27651" w:rsidRPr="008C6EAC" w:rsidRDefault="00F27651" w:rsidP="00517A25">
            <w:pPr>
              <w:pStyle w:val="Marge"/>
              <w:spacing w:before="60" w:after="60"/>
              <w:rPr>
                <w:szCs w:val="22"/>
                <w:lang w:val="en-GB"/>
              </w:rPr>
            </w:pPr>
            <w:r w:rsidRPr="008C6EAC">
              <w:rPr>
                <w:szCs w:val="22"/>
                <w:lang w:val="en-GB"/>
              </w:rPr>
              <w:t>18</w:t>
            </w:r>
          </w:p>
        </w:tc>
        <w:tc>
          <w:tcPr>
            <w:tcW w:w="3905" w:type="pct"/>
            <w:vAlign w:val="center"/>
          </w:tcPr>
          <w:p w14:paraId="02005E72" w14:textId="77777777" w:rsidR="00F27651" w:rsidRPr="008C6EAC" w:rsidRDefault="00F27651" w:rsidP="00517A25">
            <w:pPr>
              <w:pStyle w:val="Marge"/>
              <w:spacing w:before="60" w:after="60"/>
              <w:rPr>
                <w:rFonts w:cs="Arial"/>
                <w:spacing w:val="-3"/>
                <w:szCs w:val="22"/>
                <w:lang w:val="en-GB"/>
              </w:rPr>
            </w:pPr>
            <w:r w:rsidRPr="008C6EAC">
              <w:rPr>
                <w:szCs w:val="22"/>
                <w:lang w:val="en-GB"/>
              </w:rPr>
              <w:t xml:space="preserve">Algeria, Bahrain, Egypt, Iraq, Jordan, Kuwait, Lebanon, Mauritania, Morocco, Oman, Palestine, </w:t>
            </w:r>
            <w:r w:rsidRPr="008C6EAC">
              <w:rPr>
                <w:rStyle w:val="apple-style-span"/>
                <w:color w:val="000000"/>
                <w:szCs w:val="22"/>
                <w:lang w:val="en-GB"/>
              </w:rPr>
              <w:t xml:space="preserve">Qatar, </w:t>
            </w:r>
            <w:r w:rsidRPr="008C6EAC">
              <w:rPr>
                <w:szCs w:val="22"/>
                <w:lang w:val="en-GB"/>
              </w:rPr>
              <w:t xml:space="preserve">Saudi Arabia, </w:t>
            </w:r>
            <w:r w:rsidRPr="008C6EAC">
              <w:rPr>
                <w:rStyle w:val="apple-style-span"/>
                <w:color w:val="000000"/>
                <w:szCs w:val="22"/>
                <w:lang w:val="en-GB"/>
              </w:rPr>
              <w:t xml:space="preserve">Sudan, </w:t>
            </w:r>
            <w:r w:rsidRPr="008C6EAC">
              <w:rPr>
                <w:szCs w:val="22"/>
                <w:lang w:val="en-GB"/>
              </w:rPr>
              <w:t>Syrian Arab Republic, Tunisia, United Arab Emirates, Yemen</w:t>
            </w:r>
          </w:p>
        </w:tc>
      </w:tr>
    </w:tbl>
    <w:p w14:paraId="7351B17E" w14:textId="77777777" w:rsidR="00F27651" w:rsidRPr="00E461BB" w:rsidRDefault="00F27651" w:rsidP="00E461BB">
      <w:pPr>
        <w:pStyle w:val="COMParaDecision"/>
        <w:numPr>
          <w:ilvl w:val="0"/>
          <w:numId w:val="0"/>
        </w:numPr>
        <w:rPr>
          <w:bCs/>
          <w:sz w:val="20"/>
          <w:szCs w:val="20"/>
          <w:u w:val="none"/>
        </w:rPr>
      </w:pPr>
    </w:p>
    <w:p w14:paraId="440C9301" w14:textId="529C0B9A" w:rsidR="00F27651" w:rsidRPr="008C6EAC" w:rsidRDefault="00F27651" w:rsidP="00215F45">
      <w:pPr>
        <w:pStyle w:val="COMParaDecision"/>
        <w:pageBreakBefore/>
        <w:numPr>
          <w:ilvl w:val="0"/>
          <w:numId w:val="0"/>
        </w:numPr>
        <w:jc w:val="center"/>
        <w:rPr>
          <w:b/>
        </w:rPr>
      </w:pPr>
      <w:r w:rsidRPr="008C6EAC">
        <w:rPr>
          <w:b/>
        </w:rPr>
        <w:lastRenderedPageBreak/>
        <w:t>Annex II</w:t>
      </w:r>
    </w:p>
    <w:p w14:paraId="2665878E" w14:textId="33B429AB" w:rsidR="002540FF" w:rsidRPr="008C6EAC" w:rsidRDefault="00F27651" w:rsidP="008C6EAC">
      <w:pPr>
        <w:pStyle w:val="COMParaDecision"/>
        <w:numPr>
          <w:ilvl w:val="0"/>
          <w:numId w:val="0"/>
        </w:numPr>
        <w:spacing w:after="240"/>
        <w:jc w:val="center"/>
        <w:rPr>
          <w:b/>
          <w:u w:val="none"/>
        </w:rPr>
      </w:pPr>
      <w:r w:rsidRPr="008C6EAC">
        <w:rPr>
          <w:b/>
          <w:u w:val="none"/>
        </w:rPr>
        <w:t>C</w:t>
      </w:r>
      <w:r w:rsidR="007D0046" w:rsidRPr="008C6EAC">
        <w:rPr>
          <w:b/>
          <w:u w:val="none"/>
        </w:rPr>
        <w:t>lassification of State</w:t>
      </w:r>
      <w:r w:rsidRPr="008C6EAC">
        <w:rPr>
          <w:b/>
          <w:u w:val="none"/>
        </w:rPr>
        <w:t>s Parties</w:t>
      </w:r>
      <w:r w:rsidR="007D0046" w:rsidRPr="008C6EAC">
        <w:rPr>
          <w:b/>
          <w:u w:val="none"/>
        </w:rPr>
        <w:t xml:space="preserve"> to the 2003 Convention </w:t>
      </w:r>
      <w:r w:rsidR="00C11A1D" w:rsidRPr="008C6EAC">
        <w:rPr>
          <w:b/>
          <w:u w:val="none"/>
        </w:rPr>
        <w:t xml:space="preserve">(as </w:t>
      </w:r>
      <w:r w:rsidR="00C11A1D" w:rsidRPr="008C6EAC">
        <w:rPr>
          <w:b/>
          <w:u w:val="none"/>
          <w:lang w:val="en-US"/>
        </w:rPr>
        <w:t xml:space="preserve">of 30 September 2018) </w:t>
      </w:r>
      <w:r w:rsidR="00215F45" w:rsidRPr="008C6EAC">
        <w:rPr>
          <w:b/>
          <w:u w:val="none"/>
        </w:rPr>
        <w:t>which follows</w:t>
      </w:r>
      <w:r w:rsidR="008C6EAC">
        <w:rPr>
          <w:b/>
          <w:u w:val="none"/>
        </w:rPr>
        <w:t xml:space="preserve"> </w:t>
      </w:r>
      <w:r w:rsidR="00E23212" w:rsidRPr="008C6EAC">
        <w:rPr>
          <w:b/>
          <w:u w:val="none"/>
        </w:rPr>
        <w:t xml:space="preserve">a </w:t>
      </w:r>
      <w:r w:rsidR="00C11A1D" w:rsidRPr="008C6EAC">
        <w:rPr>
          <w:b/>
          <w:u w:val="none"/>
        </w:rPr>
        <w:t xml:space="preserve">regional </w:t>
      </w:r>
      <w:r w:rsidRPr="008C6EAC">
        <w:rPr>
          <w:b/>
          <w:u w:val="none"/>
        </w:rPr>
        <w:t xml:space="preserve">reporting structure </w:t>
      </w:r>
      <w:r w:rsidR="00E23212" w:rsidRPr="008C6EAC">
        <w:rPr>
          <w:b/>
          <w:u w:val="none"/>
        </w:rPr>
        <w:t xml:space="preserve">similar to that </w:t>
      </w:r>
      <w:r w:rsidRPr="008C6EAC">
        <w:rPr>
          <w:b/>
          <w:u w:val="none"/>
        </w:rPr>
        <w:t xml:space="preserve">of the </w:t>
      </w:r>
      <w:r w:rsidR="008A0CE1" w:rsidRPr="008C6EAC">
        <w:rPr>
          <w:b/>
          <w:u w:val="none"/>
        </w:rPr>
        <w:t>1972 World Heritage </w:t>
      </w:r>
      <w:r w:rsidR="00215F45" w:rsidRPr="008C6EAC">
        <w:rPr>
          <w:b/>
          <w:u w:val="none"/>
        </w:rPr>
        <w:t>Convention</w:t>
      </w:r>
      <w:r w:rsidR="008C6EAC">
        <w:rPr>
          <w:b/>
          <w:u w:val="none"/>
        </w:rPr>
        <w:t xml:space="preserve"> </w:t>
      </w:r>
      <w:r w:rsidR="00E23212" w:rsidRPr="008C6EAC">
        <w:rPr>
          <w:b/>
          <w:u w:val="none"/>
        </w:rPr>
        <w:t>based on regions as defined i</w:t>
      </w:r>
      <w:r w:rsidRPr="008C6EAC">
        <w:rPr>
          <w:b/>
          <w:u w:val="none"/>
        </w:rPr>
        <w:t xml:space="preserve">n </w:t>
      </w:r>
      <w:r w:rsidR="00C11A1D" w:rsidRPr="008C6EAC">
        <w:rPr>
          <w:b/>
          <w:u w:val="none"/>
        </w:rPr>
        <w:t>Chapter </w:t>
      </w:r>
      <w:r w:rsidRPr="008C6EAC">
        <w:rPr>
          <w:b/>
          <w:u w:val="none"/>
        </w:rPr>
        <w:t>I of the UNESCO Basic Texts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461"/>
        <w:gridCol w:w="7083"/>
      </w:tblGrid>
      <w:tr w:rsidR="00314522" w:rsidRPr="00FC6234" w14:paraId="28862F42" w14:textId="77777777" w:rsidTr="00215F45">
        <w:trPr>
          <w:jc w:val="center"/>
        </w:trPr>
        <w:tc>
          <w:tcPr>
            <w:tcW w:w="844" w:type="pct"/>
            <w:tcBorders>
              <w:bottom w:val="single" w:sz="4" w:space="0" w:color="auto"/>
            </w:tcBorders>
            <w:shd w:val="clear" w:color="auto" w:fill="F3F3F3"/>
            <w:vAlign w:val="center"/>
          </w:tcPr>
          <w:p w14:paraId="73293502" w14:textId="586B5C18" w:rsidR="00314522" w:rsidRPr="008C6EAC" w:rsidRDefault="00314522" w:rsidP="008C6EAC">
            <w:pPr>
              <w:pStyle w:val="Marge"/>
              <w:spacing w:before="240"/>
              <w:jc w:val="left"/>
              <w:rPr>
                <w:rFonts w:cs="Arial"/>
                <w:b/>
                <w:spacing w:val="-3"/>
                <w:lang w:val="en-GB"/>
              </w:rPr>
            </w:pPr>
            <w:r w:rsidRPr="008C6EAC">
              <w:rPr>
                <w:b/>
                <w:lang w:val="en-GB"/>
              </w:rPr>
              <w:t>Europe</w:t>
            </w:r>
          </w:p>
        </w:tc>
        <w:tc>
          <w:tcPr>
            <w:tcW w:w="251" w:type="pct"/>
            <w:vAlign w:val="center"/>
          </w:tcPr>
          <w:p w14:paraId="0EE38C35" w14:textId="78AD5DE9" w:rsidR="00314522" w:rsidRPr="008C6EAC" w:rsidRDefault="00314522" w:rsidP="00517A25">
            <w:pPr>
              <w:pStyle w:val="Marge"/>
              <w:spacing w:before="60" w:after="60"/>
              <w:rPr>
                <w:lang w:val="en-GB"/>
              </w:rPr>
            </w:pPr>
            <w:r w:rsidRPr="008C6EAC">
              <w:rPr>
                <w:lang w:val="en-GB"/>
              </w:rPr>
              <w:t>4</w:t>
            </w:r>
            <w:r w:rsidR="00B73ABC" w:rsidRPr="008C6EAC">
              <w:rPr>
                <w:lang w:val="en-GB"/>
              </w:rPr>
              <w:t>4</w:t>
            </w:r>
          </w:p>
        </w:tc>
        <w:tc>
          <w:tcPr>
            <w:tcW w:w="3905" w:type="pct"/>
            <w:vAlign w:val="center"/>
          </w:tcPr>
          <w:p w14:paraId="4A86981B" w14:textId="711F77EE" w:rsidR="00314522" w:rsidRPr="008C6EAC" w:rsidRDefault="00314522" w:rsidP="00517A25">
            <w:pPr>
              <w:pStyle w:val="Marge"/>
              <w:spacing w:before="60" w:after="60"/>
              <w:rPr>
                <w:rFonts w:cs="Arial"/>
                <w:spacing w:val="-3"/>
                <w:lang w:val="en-GB"/>
              </w:rPr>
            </w:pPr>
            <w:r w:rsidRPr="008C6EAC">
              <w:rPr>
                <w:lang w:val="en-GB"/>
              </w:rPr>
              <w:t xml:space="preserve">Albania, Andorra, Armenia, Austria, Azerbaijan, Belarus, Belgium, Bosnia and Herzegovina, Bulgaria, Croatia, Cyprus, </w:t>
            </w:r>
            <w:proofErr w:type="spellStart"/>
            <w:r w:rsidRPr="008C6EAC">
              <w:rPr>
                <w:lang w:val="en-GB"/>
              </w:rPr>
              <w:t>Czechia</w:t>
            </w:r>
            <w:proofErr w:type="spellEnd"/>
            <w:r w:rsidRPr="008C6EAC">
              <w:rPr>
                <w:lang w:val="en-GB"/>
              </w:rPr>
              <w:t xml:space="preserve">, Denmark, Estonia, Finland, France, Georgia, Germany, Greece, Hungary, Iceland, Ireland, Italy, Latvia, Lithuania, Luxembourg, Malta, Monaco, Montenegro, Netherlands, Norway, Poland, Portugal, Republic of Moldova, Romania, Serbia, Slovakia, Slovenia, Spain, Sweden, Switzerland, </w:t>
            </w:r>
            <w:r w:rsidR="00B73ABC" w:rsidRPr="008C6EAC">
              <w:rPr>
                <w:lang w:val="en-GB"/>
              </w:rPr>
              <w:t xml:space="preserve">the former Yugoslav Republic of Macedonia, </w:t>
            </w:r>
            <w:r w:rsidRPr="008C6EAC">
              <w:rPr>
                <w:lang w:val="en-GB"/>
              </w:rPr>
              <w:t>Turkey</w:t>
            </w:r>
            <w:r w:rsidR="00B73ABC" w:rsidRPr="008C6EAC">
              <w:rPr>
                <w:lang w:val="en-GB"/>
              </w:rPr>
              <w:t>, Ukraine</w:t>
            </w:r>
          </w:p>
        </w:tc>
      </w:tr>
      <w:tr w:rsidR="00314522" w:rsidRPr="00FC6234" w14:paraId="59646C50" w14:textId="77777777" w:rsidTr="00215F45">
        <w:trPr>
          <w:jc w:val="center"/>
        </w:trPr>
        <w:tc>
          <w:tcPr>
            <w:tcW w:w="844" w:type="pct"/>
            <w:tcBorders>
              <w:top w:val="single" w:sz="4" w:space="0" w:color="auto"/>
              <w:bottom w:val="single" w:sz="4" w:space="0" w:color="auto"/>
            </w:tcBorders>
            <w:shd w:val="clear" w:color="auto" w:fill="F3F3F3"/>
            <w:vAlign w:val="center"/>
          </w:tcPr>
          <w:p w14:paraId="21FEBAB3" w14:textId="6073C7F2" w:rsidR="00314522" w:rsidRPr="008C6EAC" w:rsidRDefault="00B73ABC" w:rsidP="008C6EAC">
            <w:pPr>
              <w:pStyle w:val="Marge"/>
              <w:spacing w:before="240"/>
              <w:jc w:val="left"/>
              <w:rPr>
                <w:rFonts w:cs="Arial"/>
                <w:b/>
                <w:spacing w:val="-3"/>
                <w:lang w:val="en-GB"/>
              </w:rPr>
            </w:pPr>
            <w:r w:rsidRPr="008C6EAC">
              <w:rPr>
                <w:b/>
                <w:lang w:val="en-GB"/>
              </w:rPr>
              <w:t>Latin America</w:t>
            </w:r>
            <w:r w:rsidRPr="008C6EAC">
              <w:rPr>
                <w:b/>
                <w:lang w:val="en-GB"/>
              </w:rPr>
              <w:br/>
              <w:t>and the Caribbean</w:t>
            </w:r>
          </w:p>
        </w:tc>
        <w:tc>
          <w:tcPr>
            <w:tcW w:w="251" w:type="pct"/>
            <w:vAlign w:val="center"/>
          </w:tcPr>
          <w:p w14:paraId="444D31C1" w14:textId="77777777" w:rsidR="00314522" w:rsidRPr="008C6EAC" w:rsidRDefault="00314522" w:rsidP="00517A25">
            <w:pPr>
              <w:pStyle w:val="Marge"/>
              <w:spacing w:before="60" w:after="60"/>
              <w:rPr>
                <w:lang w:val="en-GB"/>
              </w:rPr>
            </w:pPr>
            <w:r w:rsidRPr="008C6EAC">
              <w:rPr>
                <w:lang w:val="en-GB"/>
              </w:rPr>
              <w:t>32</w:t>
            </w:r>
          </w:p>
        </w:tc>
        <w:tc>
          <w:tcPr>
            <w:tcW w:w="3905" w:type="pct"/>
            <w:vAlign w:val="center"/>
          </w:tcPr>
          <w:p w14:paraId="607A92F3" w14:textId="77777777" w:rsidR="00314522" w:rsidRPr="00FC6234" w:rsidRDefault="00314522" w:rsidP="00517A25">
            <w:pPr>
              <w:pStyle w:val="Marge"/>
              <w:spacing w:before="60" w:after="60"/>
              <w:rPr>
                <w:rFonts w:cs="Arial"/>
                <w:spacing w:val="-3"/>
                <w:lang w:val="es-ES"/>
              </w:rPr>
            </w:pPr>
            <w:r w:rsidRPr="00FC6234">
              <w:rPr>
                <w:lang w:val="es-ES"/>
              </w:rPr>
              <w:t>Antigua and Barbuda, Argentina, Bahamas, Barbados, Belize, Bolivia (</w:t>
            </w:r>
            <w:proofErr w:type="spellStart"/>
            <w:r w:rsidRPr="00FC6234">
              <w:rPr>
                <w:lang w:val="es-ES"/>
              </w:rPr>
              <w:t>Plurinational</w:t>
            </w:r>
            <w:proofErr w:type="spellEnd"/>
            <w:r w:rsidRPr="00FC6234">
              <w:rPr>
                <w:lang w:val="es-ES"/>
              </w:rPr>
              <w:t xml:space="preserve"> </w:t>
            </w:r>
            <w:proofErr w:type="spellStart"/>
            <w:r w:rsidRPr="00FC6234">
              <w:rPr>
                <w:lang w:val="es-ES"/>
              </w:rPr>
              <w:t>State</w:t>
            </w:r>
            <w:proofErr w:type="spellEnd"/>
            <w:r w:rsidRPr="00FC6234">
              <w:rPr>
                <w:lang w:val="es-ES"/>
              </w:rPr>
              <w:t xml:space="preserve"> of), </w:t>
            </w:r>
            <w:proofErr w:type="spellStart"/>
            <w:r w:rsidRPr="00FC6234">
              <w:rPr>
                <w:lang w:val="es-ES"/>
              </w:rPr>
              <w:t>Brazil</w:t>
            </w:r>
            <w:proofErr w:type="spellEnd"/>
            <w:r w:rsidRPr="00FC6234">
              <w:rPr>
                <w:lang w:val="es-ES"/>
              </w:rPr>
              <w:t xml:space="preserve">, Chile, Colombia, Costa Rica, Cuba, Dominica, Dominican Republic, Ecuador, El Salvador, </w:t>
            </w:r>
            <w:proofErr w:type="spellStart"/>
            <w:r w:rsidRPr="00FC6234">
              <w:rPr>
                <w:lang w:val="es-ES"/>
              </w:rPr>
              <w:t>Grenada</w:t>
            </w:r>
            <w:proofErr w:type="spellEnd"/>
            <w:r w:rsidRPr="00FC6234">
              <w:rPr>
                <w:lang w:val="es-ES"/>
              </w:rPr>
              <w:t xml:space="preserve">, Guatemala, </w:t>
            </w:r>
            <w:proofErr w:type="spellStart"/>
            <w:r w:rsidRPr="00FC6234">
              <w:rPr>
                <w:lang w:val="es-ES"/>
              </w:rPr>
              <w:t>Haiti</w:t>
            </w:r>
            <w:proofErr w:type="spellEnd"/>
            <w:r w:rsidRPr="00FC6234">
              <w:rPr>
                <w:lang w:val="es-ES"/>
              </w:rPr>
              <w:t xml:space="preserve">, Honduras, Jamaica, </w:t>
            </w:r>
            <w:proofErr w:type="spellStart"/>
            <w:r w:rsidRPr="00FC6234">
              <w:rPr>
                <w:lang w:val="es-ES"/>
              </w:rPr>
              <w:t>Mexico</w:t>
            </w:r>
            <w:proofErr w:type="spellEnd"/>
            <w:r w:rsidRPr="00FC6234">
              <w:rPr>
                <w:lang w:val="es-ES"/>
              </w:rPr>
              <w:t xml:space="preserve">, Nicaragua, Panama, Paraguay, </w:t>
            </w:r>
            <w:proofErr w:type="spellStart"/>
            <w:r w:rsidRPr="00FC6234">
              <w:rPr>
                <w:lang w:val="es-ES"/>
              </w:rPr>
              <w:t>Peru</w:t>
            </w:r>
            <w:proofErr w:type="spellEnd"/>
            <w:r w:rsidRPr="00FC6234">
              <w:rPr>
                <w:lang w:val="es-ES"/>
              </w:rPr>
              <w:t xml:space="preserve">, Saint Kitts and Nevis, Saint Lucia, Saint Vincent and the </w:t>
            </w:r>
            <w:proofErr w:type="spellStart"/>
            <w:r w:rsidRPr="00FC6234">
              <w:rPr>
                <w:lang w:val="es-ES"/>
              </w:rPr>
              <w:t>Grenadines</w:t>
            </w:r>
            <w:proofErr w:type="spellEnd"/>
            <w:r w:rsidRPr="00FC6234">
              <w:rPr>
                <w:lang w:val="es-ES"/>
              </w:rPr>
              <w:t>, Suriname, Trinidad and Tobago, Uruguay, Venezuela (</w:t>
            </w:r>
            <w:proofErr w:type="spellStart"/>
            <w:r w:rsidRPr="00FC6234">
              <w:rPr>
                <w:lang w:val="es-ES"/>
              </w:rPr>
              <w:t>Bolivarian</w:t>
            </w:r>
            <w:proofErr w:type="spellEnd"/>
            <w:r w:rsidRPr="00FC6234">
              <w:rPr>
                <w:lang w:val="es-ES"/>
              </w:rPr>
              <w:t xml:space="preserve"> Republic of)</w:t>
            </w:r>
          </w:p>
        </w:tc>
      </w:tr>
      <w:tr w:rsidR="00314522" w:rsidRPr="00FC6234" w14:paraId="089930E6" w14:textId="77777777" w:rsidTr="00215F45">
        <w:trPr>
          <w:jc w:val="center"/>
        </w:trPr>
        <w:tc>
          <w:tcPr>
            <w:tcW w:w="844" w:type="pct"/>
            <w:tcBorders>
              <w:top w:val="single" w:sz="4" w:space="0" w:color="auto"/>
              <w:bottom w:val="single" w:sz="4" w:space="0" w:color="auto"/>
            </w:tcBorders>
            <w:shd w:val="clear" w:color="auto" w:fill="F3F3F3"/>
            <w:vAlign w:val="center"/>
          </w:tcPr>
          <w:p w14:paraId="7C9C1273" w14:textId="29067494" w:rsidR="00314522" w:rsidRPr="008C6EAC" w:rsidRDefault="00B73ABC" w:rsidP="008C6EAC">
            <w:pPr>
              <w:pStyle w:val="Marge"/>
              <w:spacing w:before="240"/>
              <w:jc w:val="left"/>
              <w:rPr>
                <w:rFonts w:cs="Arial"/>
                <w:b/>
                <w:spacing w:val="-3"/>
                <w:lang w:val="en-GB"/>
              </w:rPr>
            </w:pPr>
            <w:r w:rsidRPr="008C6EAC">
              <w:rPr>
                <w:b/>
                <w:lang w:val="en-GB"/>
              </w:rPr>
              <w:t>Asia and</w:t>
            </w:r>
            <w:r w:rsidRPr="008C6EAC">
              <w:rPr>
                <w:b/>
                <w:lang w:val="en-GB"/>
              </w:rPr>
              <w:br/>
              <w:t>the Pacific</w:t>
            </w:r>
          </w:p>
        </w:tc>
        <w:tc>
          <w:tcPr>
            <w:tcW w:w="251" w:type="pct"/>
            <w:vAlign w:val="center"/>
          </w:tcPr>
          <w:p w14:paraId="0A7CBA5F" w14:textId="3C004E99" w:rsidR="00314522" w:rsidRPr="008C6EAC" w:rsidRDefault="00314522" w:rsidP="00517A25">
            <w:pPr>
              <w:pStyle w:val="Marge"/>
              <w:spacing w:before="60" w:after="60"/>
              <w:rPr>
                <w:lang w:val="en-GB"/>
              </w:rPr>
            </w:pPr>
            <w:r w:rsidRPr="008C6EAC">
              <w:rPr>
                <w:lang w:val="en-GB"/>
              </w:rPr>
              <w:t>4</w:t>
            </w:r>
            <w:r w:rsidR="00B73ABC" w:rsidRPr="008C6EAC">
              <w:rPr>
                <w:lang w:val="en-GB"/>
              </w:rPr>
              <w:t>2</w:t>
            </w:r>
          </w:p>
        </w:tc>
        <w:tc>
          <w:tcPr>
            <w:tcW w:w="3905" w:type="pct"/>
            <w:vAlign w:val="center"/>
          </w:tcPr>
          <w:p w14:paraId="6E0673E6" w14:textId="077B195F" w:rsidR="00314522" w:rsidRPr="008C6EAC" w:rsidRDefault="00314522" w:rsidP="00517A25">
            <w:pPr>
              <w:pStyle w:val="Marge"/>
              <w:spacing w:before="60" w:after="60"/>
              <w:rPr>
                <w:rFonts w:cs="Arial"/>
                <w:spacing w:val="-3"/>
                <w:lang w:val="en-GB"/>
              </w:rPr>
            </w:pPr>
            <w:r w:rsidRPr="008C6EAC">
              <w:rPr>
                <w:lang w:val="en-GB"/>
              </w:rPr>
              <w:t xml:space="preserve">Afghanistan, Bangladesh, Bhutan, Brunei Darussalam, Cambodia, China, Cook Islands, Democratic People’s Republic of Korea, Fiji, India, Indonesia, Iran (Islamic Republic of), Japan, Kazakhstan, Kiribati, Kyrgyzstan, Lao People’s Democratic Republic, Malaysia, Marshall Islands, Micronesia (Federated States of), Mongolia, Myanmar, Nauru, Nepal, Pakistan, Palau, Papua New Guinea, Philippines, Republic of Korea, Samoa, Singapore, Solomon Islands, Sri Lanka, </w:t>
            </w:r>
            <w:r w:rsidR="00B73ABC" w:rsidRPr="008C6EAC">
              <w:rPr>
                <w:lang w:val="en-GB"/>
              </w:rPr>
              <w:t xml:space="preserve">Tajikistan, </w:t>
            </w:r>
            <w:r w:rsidRPr="008C6EAC">
              <w:rPr>
                <w:lang w:val="en-GB"/>
              </w:rPr>
              <w:t xml:space="preserve">Thailand, Timor-Leste, Tonga, Turkmenistan, Tuvalu, </w:t>
            </w:r>
            <w:r w:rsidR="00B73ABC" w:rsidRPr="008C6EAC">
              <w:rPr>
                <w:lang w:val="en-GB"/>
              </w:rPr>
              <w:t xml:space="preserve">Uzbekistan, </w:t>
            </w:r>
            <w:r w:rsidRPr="008C6EAC">
              <w:rPr>
                <w:lang w:val="en-GB"/>
              </w:rPr>
              <w:t>Vanuatu, Viet Nam</w:t>
            </w:r>
          </w:p>
        </w:tc>
      </w:tr>
      <w:tr w:rsidR="00314522" w:rsidRPr="00FC6234" w14:paraId="735355F6" w14:textId="77777777" w:rsidTr="00215F45">
        <w:trPr>
          <w:jc w:val="center"/>
        </w:trPr>
        <w:tc>
          <w:tcPr>
            <w:tcW w:w="844" w:type="pct"/>
            <w:tcBorders>
              <w:top w:val="single" w:sz="4" w:space="0" w:color="auto"/>
              <w:bottom w:val="single" w:sz="4" w:space="0" w:color="auto"/>
            </w:tcBorders>
            <w:shd w:val="clear" w:color="auto" w:fill="F3F3F3"/>
            <w:vAlign w:val="center"/>
          </w:tcPr>
          <w:p w14:paraId="77F5A238" w14:textId="07E64943" w:rsidR="00314522" w:rsidRPr="008C6EAC" w:rsidRDefault="00B73ABC" w:rsidP="008C6EAC">
            <w:pPr>
              <w:pStyle w:val="Marge"/>
              <w:spacing w:before="240"/>
              <w:jc w:val="left"/>
              <w:rPr>
                <w:rFonts w:cs="Arial"/>
                <w:b/>
                <w:spacing w:val="-3"/>
                <w:lang w:val="en-GB"/>
              </w:rPr>
            </w:pPr>
            <w:r w:rsidRPr="008C6EAC">
              <w:rPr>
                <w:b/>
                <w:lang w:val="en-GB"/>
              </w:rPr>
              <w:t>Africa</w:t>
            </w:r>
          </w:p>
        </w:tc>
        <w:tc>
          <w:tcPr>
            <w:tcW w:w="251" w:type="pct"/>
            <w:vAlign w:val="center"/>
          </w:tcPr>
          <w:p w14:paraId="255D472A" w14:textId="77777777" w:rsidR="00314522" w:rsidRPr="008C6EAC" w:rsidRDefault="00314522" w:rsidP="00517A25">
            <w:pPr>
              <w:pStyle w:val="Marge"/>
              <w:spacing w:before="60" w:after="60"/>
              <w:rPr>
                <w:lang w:val="en-GB"/>
              </w:rPr>
            </w:pPr>
            <w:r w:rsidRPr="008C6EAC">
              <w:rPr>
                <w:lang w:val="en-GB"/>
              </w:rPr>
              <w:t>42</w:t>
            </w:r>
          </w:p>
        </w:tc>
        <w:tc>
          <w:tcPr>
            <w:tcW w:w="3905" w:type="pct"/>
            <w:vAlign w:val="center"/>
          </w:tcPr>
          <w:p w14:paraId="067FE3D0" w14:textId="66B83DA7" w:rsidR="00314522" w:rsidRPr="008C6EAC" w:rsidRDefault="00314522" w:rsidP="00D73AE7">
            <w:pPr>
              <w:pStyle w:val="Marge"/>
              <w:spacing w:before="60" w:after="60"/>
              <w:rPr>
                <w:rFonts w:cs="Arial"/>
                <w:spacing w:val="-3"/>
                <w:lang w:val="en-GB"/>
              </w:rPr>
            </w:pPr>
            <w:r w:rsidRPr="008C6EAC">
              <w:rPr>
                <w:lang w:val="en-GB"/>
              </w:rPr>
              <w:t>Benin, Botswana, Burkina Faso, Burundi, Cabo Verde, Cameroon, Central African Republic, Chad, Comoros, Congo, Côte d’Ivoire, Democratic Republic of the Congo, Djibouti, Equatorial Guinea, Eritrea,</w:t>
            </w:r>
            <w:r w:rsidR="00D95DF8" w:rsidRPr="008C6EAC">
              <w:rPr>
                <w:lang w:val="en-GB"/>
              </w:rPr>
              <w:t xml:space="preserve"> </w:t>
            </w:r>
            <w:proofErr w:type="spellStart"/>
            <w:r w:rsidR="00D95DF8" w:rsidRPr="008C6EAC">
              <w:rPr>
                <w:lang w:val="en-GB"/>
              </w:rPr>
              <w:t>Eswatini</w:t>
            </w:r>
            <w:proofErr w:type="spellEnd"/>
            <w:r w:rsidR="00D95DF8" w:rsidRPr="008C6EAC">
              <w:rPr>
                <w:lang w:val="en-GB"/>
              </w:rPr>
              <w:t>,</w:t>
            </w:r>
            <w:r w:rsidRPr="008C6EAC">
              <w:rPr>
                <w:lang w:val="en-GB"/>
              </w:rPr>
              <w:t xml:space="preserve"> Ethiopia, Gabon, Gambia, Ghana, Guinea, Guinea-Bissau, Kenya, Lesotho, Madagascar, Malawi, Mali, Mauritius, Mozambique, Namibia, Niger, Nigeria, Rwanda, Sao Tome and Principe, Senegal, Seychelles, South Sudan, Togo, Uganda, United Republic of Tanzania, Zambia, Zimbabwe</w:t>
            </w:r>
          </w:p>
        </w:tc>
      </w:tr>
      <w:tr w:rsidR="00314522" w:rsidRPr="00FC6234" w14:paraId="6CE12562" w14:textId="77777777" w:rsidTr="00215F45">
        <w:trPr>
          <w:jc w:val="center"/>
        </w:trPr>
        <w:tc>
          <w:tcPr>
            <w:tcW w:w="844" w:type="pct"/>
            <w:tcBorders>
              <w:top w:val="single" w:sz="4" w:space="0" w:color="auto"/>
              <w:bottom w:val="single" w:sz="4" w:space="0" w:color="auto"/>
            </w:tcBorders>
            <w:shd w:val="clear" w:color="auto" w:fill="F3F3F3"/>
            <w:vAlign w:val="center"/>
          </w:tcPr>
          <w:p w14:paraId="5F15AF6F" w14:textId="01F07466" w:rsidR="00314522" w:rsidRPr="008C6EAC" w:rsidRDefault="00B73ABC" w:rsidP="008C6EAC">
            <w:pPr>
              <w:pStyle w:val="Marge"/>
              <w:spacing w:before="240"/>
              <w:jc w:val="left"/>
              <w:rPr>
                <w:rFonts w:cs="Arial"/>
                <w:b/>
                <w:spacing w:val="-3"/>
                <w:lang w:val="en-GB"/>
              </w:rPr>
            </w:pPr>
            <w:r w:rsidRPr="008C6EAC">
              <w:rPr>
                <w:b/>
                <w:lang w:val="en-GB"/>
              </w:rPr>
              <w:t>Arab States</w:t>
            </w:r>
          </w:p>
        </w:tc>
        <w:tc>
          <w:tcPr>
            <w:tcW w:w="251" w:type="pct"/>
            <w:vAlign w:val="center"/>
          </w:tcPr>
          <w:p w14:paraId="5DF812E8" w14:textId="77777777" w:rsidR="00314522" w:rsidRPr="008C6EAC" w:rsidRDefault="00314522" w:rsidP="00517A25">
            <w:pPr>
              <w:pStyle w:val="Marge"/>
              <w:spacing w:before="60" w:after="60"/>
              <w:rPr>
                <w:lang w:val="en-GB"/>
              </w:rPr>
            </w:pPr>
            <w:r w:rsidRPr="008C6EAC">
              <w:rPr>
                <w:lang w:val="en-GB"/>
              </w:rPr>
              <w:t>18</w:t>
            </w:r>
          </w:p>
        </w:tc>
        <w:tc>
          <w:tcPr>
            <w:tcW w:w="3905" w:type="pct"/>
            <w:vAlign w:val="center"/>
          </w:tcPr>
          <w:p w14:paraId="10FA4977" w14:textId="77777777" w:rsidR="00314522" w:rsidRPr="008C6EAC" w:rsidRDefault="00314522" w:rsidP="00517A25">
            <w:pPr>
              <w:pStyle w:val="Marge"/>
              <w:spacing w:before="60" w:after="60"/>
              <w:rPr>
                <w:rFonts w:cs="Arial"/>
                <w:spacing w:val="-3"/>
                <w:lang w:val="en-GB"/>
              </w:rPr>
            </w:pPr>
            <w:r w:rsidRPr="008C6EAC">
              <w:rPr>
                <w:lang w:val="en-GB"/>
              </w:rPr>
              <w:t xml:space="preserve">Algeria, Bahrain, Egypt, Iraq, Jordan, Kuwait, Lebanon, Mauritania, Morocco, Oman, Palestine, </w:t>
            </w:r>
            <w:r w:rsidRPr="008C6EAC">
              <w:rPr>
                <w:rStyle w:val="apple-style-span"/>
                <w:color w:val="000000"/>
                <w:lang w:val="en-GB"/>
              </w:rPr>
              <w:t xml:space="preserve">Qatar, </w:t>
            </w:r>
            <w:r w:rsidRPr="008C6EAC">
              <w:rPr>
                <w:lang w:val="en-GB"/>
              </w:rPr>
              <w:t xml:space="preserve">Saudi Arabia, </w:t>
            </w:r>
            <w:r w:rsidRPr="008C6EAC">
              <w:rPr>
                <w:rStyle w:val="apple-style-span"/>
                <w:color w:val="000000"/>
                <w:lang w:val="en-GB"/>
              </w:rPr>
              <w:t xml:space="preserve">Sudan, </w:t>
            </w:r>
            <w:r w:rsidRPr="008C6EAC">
              <w:rPr>
                <w:lang w:val="en-GB"/>
              </w:rPr>
              <w:t>Syrian Arab Republic, Tunisia, United Arab Emirates, Yemen</w:t>
            </w:r>
          </w:p>
        </w:tc>
      </w:tr>
    </w:tbl>
    <w:p w14:paraId="4D37C1BC" w14:textId="77777777" w:rsidR="0053318C" w:rsidRDefault="0053318C" w:rsidP="002540FF">
      <w:pPr>
        <w:pStyle w:val="COMParaDecision"/>
        <w:numPr>
          <w:ilvl w:val="0"/>
          <w:numId w:val="0"/>
        </w:numPr>
        <w:jc w:val="left"/>
      </w:pPr>
    </w:p>
    <w:sectPr w:rsidR="0053318C" w:rsidSect="00655736">
      <w:headerReference w:type="even" r:id="rId22"/>
      <w:headerReference w:type="default" r:id="rId23"/>
      <w:headerReference w:type="first" r:id="rId24"/>
      <w:pgSz w:w="11906" w:h="16838" w:code="9"/>
      <w:pgMar w:top="1418" w:right="1134" w:bottom="1134" w:left="1134" w:header="397" w:footer="28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920CEE" w16cid:durableId="1F60C434"/>
  <w16cid:commentId w16cid:paraId="3E560C33" w16cid:durableId="1F60C435"/>
  <w16cid:commentId w16cid:paraId="73A99131" w16cid:durableId="1F61BD93"/>
  <w16cid:commentId w16cid:paraId="545B1084" w16cid:durableId="1F61BEA0"/>
  <w16cid:commentId w16cid:paraId="2E5555C2" w16cid:durableId="1F61BEF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F4A74" w14:textId="77777777" w:rsidR="00FC24B5" w:rsidRDefault="00FC24B5" w:rsidP="00655736">
      <w:r>
        <w:separator/>
      </w:r>
    </w:p>
  </w:endnote>
  <w:endnote w:type="continuationSeparator" w:id="0">
    <w:p w14:paraId="5926946B" w14:textId="77777777" w:rsidR="00FC24B5" w:rsidRDefault="00FC24B5"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D3891" w14:textId="77777777" w:rsidR="00FC24B5" w:rsidRDefault="00FC24B5" w:rsidP="00655736">
      <w:r>
        <w:separator/>
      </w:r>
    </w:p>
  </w:footnote>
  <w:footnote w:type="continuationSeparator" w:id="0">
    <w:p w14:paraId="20808CA2" w14:textId="77777777" w:rsidR="00FC24B5" w:rsidRDefault="00FC24B5" w:rsidP="00655736">
      <w:r>
        <w:continuationSeparator/>
      </w:r>
    </w:p>
  </w:footnote>
  <w:footnote w:id="1">
    <w:p w14:paraId="63D3DA6D" w14:textId="02D1ACC8" w:rsidR="00EF6E74" w:rsidRPr="0005223A" w:rsidRDefault="00EF6E74" w:rsidP="00BD3EE7">
      <w:pPr>
        <w:pStyle w:val="FootnoteText"/>
        <w:ind w:left="567" w:hanging="567"/>
        <w:jc w:val="both"/>
        <w:rPr>
          <w:rFonts w:ascii="Arial" w:hAnsi="Arial" w:cs="Arial"/>
          <w:sz w:val="18"/>
          <w:szCs w:val="18"/>
          <w:lang w:val="en-US"/>
        </w:rPr>
      </w:pPr>
      <w:r w:rsidRPr="0005223A">
        <w:rPr>
          <w:rStyle w:val="FootnoteReference"/>
          <w:rFonts w:ascii="Arial" w:hAnsi="Arial" w:cs="Arial"/>
          <w:sz w:val="18"/>
          <w:szCs w:val="18"/>
          <w:vertAlign w:val="baseline"/>
        </w:rPr>
        <w:footnoteRef/>
      </w:r>
      <w:r w:rsidRPr="0005223A">
        <w:rPr>
          <w:rFonts w:ascii="Arial" w:hAnsi="Arial" w:cs="Arial"/>
          <w:sz w:val="18"/>
          <w:szCs w:val="18"/>
          <w:lang w:val="en-US"/>
        </w:rPr>
        <w:t xml:space="preserve">. </w:t>
      </w:r>
      <w:r w:rsidRPr="0005223A">
        <w:rPr>
          <w:rFonts w:ascii="Arial" w:hAnsi="Arial" w:cs="Arial"/>
          <w:sz w:val="18"/>
          <w:szCs w:val="18"/>
          <w:lang w:val="en-US"/>
        </w:rPr>
        <w:tab/>
        <w:t xml:space="preserve">Appendix 2 of the Rules of Procedure of the General Conference included in the UNESCO Basic Texts 2018 edition (p.64): </w:t>
      </w:r>
      <w:hyperlink r:id="rId1" w:history="1">
        <w:r w:rsidRPr="0005223A">
          <w:rPr>
            <w:rStyle w:val="Hyperlink"/>
            <w:rFonts w:ascii="Arial" w:hAnsi="Arial" w:cs="Arial"/>
            <w:sz w:val="18"/>
            <w:szCs w:val="18"/>
            <w:lang w:val="en-US"/>
          </w:rPr>
          <w:t>http://unesdoc.unesco.org/images/0026/002617/261751e.pdf</w:t>
        </w:r>
      </w:hyperlink>
      <w:r w:rsidRPr="0005223A">
        <w:rPr>
          <w:rStyle w:val="Hyperlink"/>
          <w:rFonts w:ascii="Arial" w:hAnsi="Arial" w:cs="Arial"/>
          <w:sz w:val="18"/>
          <w:szCs w:val="18"/>
          <w:lang w:val="en-US"/>
        </w:rPr>
        <w:t>.</w:t>
      </w:r>
    </w:p>
  </w:footnote>
  <w:footnote w:id="2">
    <w:p w14:paraId="3E6ED882" w14:textId="108A9711" w:rsidR="00EF6E74" w:rsidRPr="00E461BB" w:rsidRDefault="00EF6E74" w:rsidP="00517A25">
      <w:pPr>
        <w:pStyle w:val="FootnoteText"/>
        <w:ind w:left="567" w:hanging="567"/>
        <w:rPr>
          <w:rFonts w:ascii="Arial" w:hAnsi="Arial" w:cs="Arial"/>
          <w:sz w:val="18"/>
          <w:szCs w:val="18"/>
          <w:lang w:val="en-US"/>
        </w:rPr>
      </w:pPr>
      <w:r w:rsidRPr="00E461BB">
        <w:rPr>
          <w:rStyle w:val="FootnoteReference"/>
          <w:rFonts w:ascii="Arial" w:hAnsi="Arial" w:cs="Arial"/>
          <w:sz w:val="18"/>
          <w:szCs w:val="18"/>
          <w:vertAlign w:val="baseline"/>
        </w:rPr>
        <w:footnoteRef/>
      </w:r>
      <w:r w:rsidRPr="00E461BB">
        <w:rPr>
          <w:rFonts w:ascii="Arial" w:hAnsi="Arial" w:cs="Arial"/>
          <w:sz w:val="18"/>
          <w:szCs w:val="18"/>
          <w:lang w:val="en-US"/>
        </w:rPr>
        <w:t>.</w:t>
      </w:r>
      <w:r w:rsidRPr="00E461BB">
        <w:rPr>
          <w:rFonts w:ascii="Arial" w:hAnsi="Arial" w:cs="Arial"/>
          <w:sz w:val="18"/>
          <w:szCs w:val="18"/>
          <w:lang w:val="en-US"/>
        </w:rPr>
        <w:tab/>
        <w:t xml:space="preserve">Chapter I of the UNESCO Basic Texts 2018 edition (p.141): </w:t>
      </w:r>
      <w:hyperlink r:id="rId2" w:history="1">
        <w:r w:rsidRPr="00E461BB">
          <w:rPr>
            <w:rStyle w:val="Hyperlink"/>
            <w:rFonts w:ascii="Arial" w:hAnsi="Arial" w:cs="Arial"/>
            <w:sz w:val="18"/>
            <w:szCs w:val="18"/>
            <w:lang w:val="en-US"/>
          </w:rPr>
          <w:t>http://unesdoc.unesco.org/images/0026/002617/261751e.pdf</w:t>
        </w:r>
      </w:hyperlink>
      <w:r w:rsidRPr="00E461BB">
        <w:rPr>
          <w:rStyle w:val="Hyperlink"/>
          <w:rFonts w:ascii="Arial" w:hAnsi="Arial" w:cs="Arial"/>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0EB7E" w14:textId="37C8591C" w:rsidR="00EF6E74" w:rsidRPr="00C23A97" w:rsidRDefault="00EF6E74" w:rsidP="001D14FE">
    <w:pPr>
      <w:pStyle w:val="Header"/>
      <w:rPr>
        <w:rFonts w:ascii="Arial" w:hAnsi="Arial" w:cs="Arial"/>
        <w:lang w:val="en-GB"/>
      </w:rPr>
    </w:pPr>
    <w:r>
      <w:rPr>
        <w:rFonts w:ascii="Arial" w:hAnsi="Arial" w:cs="Arial"/>
        <w:sz w:val="20"/>
        <w:szCs w:val="20"/>
        <w:lang w:val="en-GB"/>
      </w:rPr>
      <w:t>ITH/18/13.COM</w:t>
    </w:r>
    <w:r w:rsidRPr="00C23A97">
      <w:rPr>
        <w:rFonts w:ascii="Arial" w:hAnsi="Arial" w:cs="Arial"/>
        <w:sz w:val="20"/>
        <w:szCs w:val="20"/>
        <w:lang w:val="en-GB"/>
      </w:rPr>
      <w:t>/</w:t>
    </w:r>
    <w:r w:rsidRPr="008561AD">
      <w:rPr>
        <w:rFonts w:ascii="Arial" w:hAnsi="Arial" w:cs="Arial"/>
        <w:sz w:val="20"/>
        <w:szCs w:val="20"/>
        <w:lang w:val="en-GB"/>
      </w:rPr>
      <w:t>8</w:t>
    </w:r>
    <w:r w:rsidRPr="00C23A97">
      <w:rPr>
        <w:rFonts w:ascii="Arial" w:hAnsi="Arial" w:cs="Arial"/>
        <w:sz w:val="20"/>
        <w:szCs w:val="20"/>
        <w:lang w:val="en-GB"/>
      </w:rPr>
      <w:t xml:space="preserve"> – page </w:t>
    </w:r>
    <w:r w:rsidRPr="00C23A97">
      <w:rPr>
        <w:rStyle w:val="PageNumber"/>
        <w:rFonts w:ascii="Arial" w:hAnsi="Arial" w:cs="Arial"/>
        <w:sz w:val="20"/>
        <w:szCs w:val="20"/>
        <w:lang w:val="en-GB"/>
      </w:rPr>
      <w:fldChar w:fldCharType="begin"/>
    </w:r>
    <w:r w:rsidRPr="00C23A97">
      <w:rPr>
        <w:rStyle w:val="PageNumber"/>
        <w:rFonts w:ascii="Arial" w:hAnsi="Arial" w:cs="Arial"/>
        <w:sz w:val="20"/>
        <w:szCs w:val="20"/>
        <w:lang w:val="en-GB"/>
      </w:rPr>
      <w:instrText xml:space="preserve"> PAGE </w:instrText>
    </w:r>
    <w:r w:rsidRPr="00C23A97">
      <w:rPr>
        <w:rStyle w:val="PageNumber"/>
        <w:rFonts w:ascii="Arial" w:hAnsi="Arial" w:cs="Arial"/>
        <w:sz w:val="20"/>
        <w:szCs w:val="20"/>
        <w:lang w:val="en-GB"/>
      </w:rPr>
      <w:fldChar w:fldCharType="separate"/>
    </w:r>
    <w:r w:rsidR="00FC6234">
      <w:rPr>
        <w:rStyle w:val="PageNumber"/>
        <w:rFonts w:ascii="Arial" w:hAnsi="Arial" w:cs="Arial"/>
        <w:noProof/>
        <w:sz w:val="20"/>
        <w:szCs w:val="20"/>
        <w:lang w:val="en-GB"/>
      </w:rPr>
      <w:t>8</w:t>
    </w:r>
    <w:r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2CCE4" w14:textId="5537AAB4" w:rsidR="00EF6E74" w:rsidRPr="0063300C" w:rsidRDefault="00EF6E74" w:rsidP="001D14FE">
    <w:pPr>
      <w:pStyle w:val="Header"/>
      <w:jc w:val="right"/>
      <w:rPr>
        <w:rFonts w:ascii="Arial" w:hAnsi="Arial" w:cs="Arial"/>
        <w:lang w:val="en-GB"/>
      </w:rPr>
    </w:pPr>
    <w:r>
      <w:rPr>
        <w:rFonts w:ascii="Arial" w:hAnsi="Arial" w:cs="Arial"/>
        <w:sz w:val="20"/>
        <w:szCs w:val="20"/>
        <w:lang w:val="en-GB"/>
      </w:rPr>
      <w:t>ITH/18/13.COM</w:t>
    </w:r>
    <w:r w:rsidRPr="0063300C">
      <w:rPr>
        <w:rFonts w:ascii="Arial" w:hAnsi="Arial" w:cs="Arial"/>
        <w:sz w:val="20"/>
        <w:szCs w:val="20"/>
        <w:lang w:val="en-GB"/>
      </w:rPr>
      <w:t>/</w:t>
    </w:r>
    <w:r w:rsidRPr="008561AD">
      <w:rPr>
        <w:rFonts w:ascii="Arial" w:hAnsi="Arial" w:cs="Arial"/>
        <w:sz w:val="20"/>
        <w:szCs w:val="20"/>
        <w:lang w:val="en-GB"/>
      </w:rPr>
      <w:t>8</w:t>
    </w:r>
    <w:r w:rsidRPr="009702A5">
      <w:rPr>
        <w:rFonts w:ascii="Arial" w:hAnsi="Arial" w:cs="Arial"/>
        <w:sz w:val="20"/>
        <w:szCs w:val="20"/>
        <w:lang w:val="en-GB"/>
      </w:rPr>
      <w:t xml:space="preserve"> –</w:t>
    </w:r>
    <w:r w:rsidRPr="0063300C">
      <w:rPr>
        <w:rFonts w:ascii="Arial" w:hAnsi="Arial" w:cs="Arial"/>
        <w:sz w:val="20"/>
        <w:szCs w:val="20"/>
        <w:lang w:val="en-GB"/>
      </w:rPr>
      <w:t xml:space="preserve"> page </w:t>
    </w:r>
    <w:r w:rsidRPr="0063300C">
      <w:rPr>
        <w:rStyle w:val="PageNumber"/>
        <w:rFonts w:ascii="Arial" w:hAnsi="Arial" w:cs="Arial"/>
        <w:sz w:val="20"/>
        <w:szCs w:val="20"/>
        <w:lang w:val="en-GB"/>
      </w:rPr>
      <w:fldChar w:fldCharType="begin"/>
    </w:r>
    <w:r w:rsidRPr="0063300C">
      <w:rPr>
        <w:rStyle w:val="PageNumber"/>
        <w:rFonts w:ascii="Arial" w:hAnsi="Arial" w:cs="Arial"/>
        <w:sz w:val="20"/>
        <w:szCs w:val="20"/>
        <w:lang w:val="en-GB"/>
      </w:rPr>
      <w:instrText xml:space="preserve"> PAGE </w:instrText>
    </w:r>
    <w:r w:rsidRPr="0063300C">
      <w:rPr>
        <w:rStyle w:val="PageNumber"/>
        <w:rFonts w:ascii="Arial" w:hAnsi="Arial" w:cs="Arial"/>
        <w:sz w:val="20"/>
        <w:szCs w:val="20"/>
        <w:lang w:val="en-GB"/>
      </w:rPr>
      <w:fldChar w:fldCharType="separate"/>
    </w:r>
    <w:r w:rsidR="00FC6234">
      <w:rPr>
        <w:rStyle w:val="PageNumber"/>
        <w:rFonts w:ascii="Arial" w:hAnsi="Arial" w:cs="Arial"/>
        <w:noProof/>
        <w:sz w:val="20"/>
        <w:szCs w:val="20"/>
        <w:lang w:val="en-GB"/>
      </w:rPr>
      <w:t>7</w:t>
    </w:r>
    <w:r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02997" w14:textId="77777777" w:rsidR="00EF6E74" w:rsidRPr="00E95AE2" w:rsidRDefault="00EF6E74">
    <w:pPr>
      <w:pStyle w:val="Header"/>
      <w:rPr>
        <w:sz w:val="22"/>
        <w:szCs w:val="22"/>
        <w:lang w:val="en-GB"/>
      </w:rPr>
    </w:pPr>
    <w:r>
      <w:rPr>
        <w:noProof/>
        <w:lang w:val="en-US" w:eastAsia="ko-KR"/>
      </w:rPr>
      <w:drawing>
        <wp:anchor distT="0" distB="0" distL="114300" distR="114300" simplePos="0" relativeHeight="251657728" behindDoc="0" locked="0" layoutInCell="1" allowOverlap="1" wp14:anchorId="05C0D8B3" wp14:editId="524608FE">
          <wp:simplePos x="0" y="0"/>
          <wp:positionH relativeFrom="column">
            <wp:posOffset>-567690</wp:posOffset>
          </wp:positionH>
          <wp:positionV relativeFrom="paragraph">
            <wp:posOffset>3810</wp:posOffset>
          </wp:positionV>
          <wp:extent cx="2228215" cy="1367790"/>
          <wp:effectExtent l="0" t="0" r="635" b="3810"/>
          <wp:wrapNone/>
          <wp:docPr id="4"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185642" w14:textId="77777777" w:rsidR="00EF6E74" w:rsidRPr="00F30DC6" w:rsidRDefault="00EF6E74" w:rsidP="001D14FE">
    <w:pPr>
      <w:pStyle w:val="Header"/>
      <w:spacing w:after="520"/>
      <w:jc w:val="right"/>
      <w:rPr>
        <w:rFonts w:ascii="Arial" w:hAnsi="Arial" w:cs="Arial"/>
        <w:b/>
        <w:sz w:val="44"/>
        <w:szCs w:val="44"/>
        <w:lang w:val="en-GB"/>
      </w:rPr>
    </w:pPr>
    <w:r>
      <w:rPr>
        <w:rFonts w:ascii="Arial" w:hAnsi="Arial" w:cs="Arial"/>
        <w:b/>
        <w:sz w:val="44"/>
        <w:szCs w:val="44"/>
        <w:lang w:val="en-GB"/>
      </w:rPr>
      <w:t>13</w:t>
    </w:r>
    <w:r w:rsidRPr="00F30DC6">
      <w:rPr>
        <w:rFonts w:ascii="Arial" w:hAnsi="Arial" w:cs="Arial"/>
        <w:b/>
        <w:sz w:val="44"/>
        <w:szCs w:val="44"/>
        <w:lang w:val="en-GB"/>
      </w:rPr>
      <w:t xml:space="preserve"> COM</w:t>
    </w:r>
  </w:p>
  <w:p w14:paraId="33B1D1A2" w14:textId="77777777" w:rsidR="00EF6E74" w:rsidRPr="009D5428" w:rsidRDefault="00EF6E74" w:rsidP="001D14FE">
    <w:pPr>
      <w:jc w:val="right"/>
      <w:rPr>
        <w:rFonts w:ascii="Arial" w:hAnsi="Arial" w:cs="Arial"/>
        <w:b/>
        <w:sz w:val="22"/>
        <w:szCs w:val="22"/>
        <w:lang w:val="en-GB"/>
      </w:rPr>
    </w:pPr>
    <w:r>
      <w:rPr>
        <w:rFonts w:ascii="Arial" w:hAnsi="Arial" w:cs="Arial"/>
        <w:b/>
        <w:sz w:val="22"/>
        <w:szCs w:val="22"/>
        <w:lang w:val="en-GB"/>
      </w:rPr>
      <w:t>ITH/1</w:t>
    </w:r>
    <w:r>
      <w:rPr>
        <w:rFonts w:ascii="Arial" w:eastAsiaTheme="minorEastAsia" w:hAnsi="Arial" w:cs="Arial"/>
        <w:b/>
        <w:sz w:val="22"/>
        <w:szCs w:val="22"/>
        <w:lang w:val="en-GB" w:eastAsia="ko-KR"/>
      </w:rPr>
      <w:t>8</w:t>
    </w:r>
    <w:r w:rsidRPr="009D5428">
      <w:rPr>
        <w:rFonts w:ascii="Arial" w:hAnsi="Arial" w:cs="Arial"/>
        <w:b/>
        <w:sz w:val="22"/>
        <w:szCs w:val="22"/>
        <w:lang w:val="en-GB"/>
      </w:rPr>
      <w:t>/</w:t>
    </w:r>
    <w:r>
      <w:rPr>
        <w:rFonts w:ascii="Arial" w:hAnsi="Arial" w:cs="Arial"/>
        <w:b/>
        <w:sz w:val="22"/>
        <w:szCs w:val="22"/>
        <w:lang w:val="en-GB"/>
      </w:rPr>
      <w:t>13</w:t>
    </w:r>
    <w:r w:rsidRPr="009D5428">
      <w:rPr>
        <w:rFonts w:ascii="Arial" w:hAnsi="Arial" w:cs="Arial"/>
        <w:b/>
        <w:sz w:val="22"/>
        <w:szCs w:val="22"/>
        <w:lang w:val="en-GB"/>
      </w:rPr>
      <w:t>.COM</w:t>
    </w:r>
    <w:r w:rsidRPr="009A6AD1">
      <w:rPr>
        <w:rFonts w:ascii="Arial" w:hAnsi="Arial" w:cs="Arial"/>
        <w:b/>
        <w:sz w:val="22"/>
        <w:szCs w:val="22"/>
        <w:lang w:val="en-GB"/>
      </w:rPr>
      <w:t>/</w:t>
    </w:r>
    <w:r w:rsidRPr="008561AD">
      <w:rPr>
        <w:rFonts w:ascii="Arial" w:hAnsi="Arial" w:cs="Arial"/>
        <w:b/>
        <w:sz w:val="22"/>
        <w:szCs w:val="22"/>
        <w:lang w:val="en-GB"/>
      </w:rPr>
      <w:t>8</w:t>
    </w:r>
  </w:p>
  <w:p w14:paraId="47C3FB68" w14:textId="35033F2F" w:rsidR="00EF6E74" w:rsidRPr="00337CEB" w:rsidRDefault="00EF6E74" w:rsidP="00FC6234">
    <w:pPr>
      <w:jc w:val="right"/>
      <w:rPr>
        <w:rFonts w:ascii="Arial" w:eastAsiaTheme="minorEastAsia" w:hAnsi="Arial" w:cs="Arial"/>
        <w:b/>
        <w:sz w:val="22"/>
        <w:szCs w:val="22"/>
        <w:lang w:val="en-GB" w:eastAsia="ko-KR"/>
      </w:rPr>
    </w:pPr>
    <w:r w:rsidRPr="009D5428">
      <w:rPr>
        <w:rFonts w:ascii="Arial" w:hAnsi="Arial" w:cs="Arial"/>
        <w:b/>
        <w:sz w:val="22"/>
        <w:szCs w:val="22"/>
        <w:lang w:val="en-GB"/>
      </w:rPr>
      <w:t>Paris,</w:t>
    </w:r>
    <w:r w:rsidR="00FC6234">
      <w:rPr>
        <w:rFonts w:ascii="Arial" w:hAnsi="Arial" w:cs="Arial"/>
        <w:b/>
        <w:sz w:val="22"/>
        <w:szCs w:val="22"/>
        <w:lang w:val="en-GB"/>
      </w:rPr>
      <w:t xml:space="preserve"> 26 October</w:t>
    </w:r>
    <w:r w:rsidRPr="00F32C23">
      <w:rPr>
        <w:rFonts w:ascii="Arial" w:hAnsi="Arial" w:cs="Arial"/>
        <w:b/>
        <w:sz w:val="22"/>
        <w:szCs w:val="22"/>
        <w:lang w:val="en-GB"/>
      </w:rPr>
      <w:t xml:space="preserve"> </w:t>
    </w:r>
    <w:r>
      <w:rPr>
        <w:rFonts w:ascii="Arial" w:hAnsi="Arial" w:cs="Arial"/>
        <w:b/>
        <w:sz w:val="22"/>
        <w:szCs w:val="22"/>
        <w:lang w:val="en-GB"/>
      </w:rPr>
      <w:t>201</w:t>
    </w:r>
    <w:r>
      <w:rPr>
        <w:rFonts w:ascii="Arial" w:eastAsiaTheme="minorEastAsia" w:hAnsi="Arial" w:cs="Arial"/>
        <w:b/>
        <w:sz w:val="22"/>
        <w:szCs w:val="22"/>
        <w:lang w:val="en-GB" w:eastAsia="ko-KR"/>
      </w:rPr>
      <w:t>8</w:t>
    </w:r>
  </w:p>
  <w:p w14:paraId="4490B087" w14:textId="77777777" w:rsidR="00EF6E74" w:rsidRPr="00F32C23" w:rsidRDefault="00EF6E74" w:rsidP="000048ED">
    <w:pPr>
      <w:jc w:val="right"/>
      <w:rPr>
        <w:rFonts w:ascii="Arial" w:hAnsi="Arial" w:cs="Arial"/>
        <w:b/>
        <w:sz w:val="22"/>
        <w:szCs w:val="22"/>
        <w:lang w:val="en-GB"/>
      </w:rPr>
    </w:pPr>
    <w:r w:rsidRPr="00F32C23">
      <w:rPr>
        <w:rFonts w:ascii="Arial" w:hAnsi="Arial" w:cs="Arial"/>
        <w:b/>
        <w:sz w:val="22"/>
        <w:szCs w:val="22"/>
        <w:lang w:val="en-GB"/>
      </w:rPr>
      <w:t>Original</w:t>
    </w:r>
    <w:r w:rsidRPr="009A6AD1">
      <w:rPr>
        <w:rFonts w:ascii="Arial" w:hAnsi="Arial" w:cs="Arial"/>
        <w:b/>
        <w:sz w:val="22"/>
        <w:szCs w:val="22"/>
        <w:lang w:val="en-GB"/>
      </w:rPr>
      <w:t xml:space="preserve">: </w:t>
    </w:r>
    <w:r w:rsidRPr="008561AD">
      <w:rPr>
        <w:rFonts w:ascii="Arial" w:hAnsi="Arial" w:cs="Arial"/>
        <w:b/>
        <w:sz w:val="22"/>
        <w:szCs w:val="22"/>
        <w:lang w:val="en-GB"/>
      </w:rPr>
      <w:t>English</w:t>
    </w:r>
  </w:p>
  <w:p w14:paraId="7DD10C85" w14:textId="77777777" w:rsidR="00EF6E74" w:rsidRPr="00E95AE2" w:rsidRDefault="00EF6E74">
    <w:pPr>
      <w:pStyle w:val="Header"/>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7261"/>
    <w:multiLevelType w:val="hybridMultilevel"/>
    <w:tmpl w:val="AAAAB4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9B6DF7"/>
    <w:multiLevelType w:val="hybridMultilevel"/>
    <w:tmpl w:val="B7FE324A"/>
    <w:lvl w:ilvl="0" w:tplc="EC18F558">
      <w:start w:val="1"/>
      <w:numFmt w:val="lowerRoman"/>
      <w:lvlText w:val="%1."/>
      <w:lvlJc w:val="left"/>
      <w:pPr>
        <w:ind w:left="1070" w:hanging="36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2" w15:restartNumberingAfterBreak="0">
    <w:nsid w:val="0E5E62E6"/>
    <w:multiLevelType w:val="hybridMultilevel"/>
    <w:tmpl w:val="42146190"/>
    <w:lvl w:ilvl="0" w:tplc="625CF5D2">
      <w:start w:val="1"/>
      <w:numFmt w:val="low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4" w15:restartNumberingAfterBreak="0">
    <w:nsid w:val="12416C37"/>
    <w:multiLevelType w:val="hybridMultilevel"/>
    <w:tmpl w:val="8300311A"/>
    <w:lvl w:ilvl="0" w:tplc="040C001B">
      <w:start w:val="1"/>
      <w:numFmt w:val="lowerRoman"/>
      <w:lvlText w:val="%1."/>
      <w:lvlJc w:val="right"/>
      <w:pPr>
        <w:ind w:left="1070" w:hanging="360"/>
      </w:p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5" w15:restartNumberingAfterBreak="0">
    <w:nsid w:val="12D3577E"/>
    <w:multiLevelType w:val="hybridMultilevel"/>
    <w:tmpl w:val="874CF1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7"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5F07BFE"/>
    <w:multiLevelType w:val="hybridMultilevel"/>
    <w:tmpl w:val="58AE7356"/>
    <w:lvl w:ilvl="0" w:tplc="165ACFFA">
      <w:start w:val="1"/>
      <w:numFmt w:val="decimal"/>
      <w:pStyle w:val="COMPara"/>
      <w:lvlText w:val="%1."/>
      <w:lvlJc w:val="left"/>
      <w:pPr>
        <w:ind w:left="720" w:hanging="360"/>
      </w:pPr>
      <w:rPr>
        <w:i w:val="0"/>
      </w:rPr>
    </w:lvl>
    <w:lvl w:ilvl="1" w:tplc="6818B850">
      <w:start w:val="1"/>
      <w:numFmt w:val="lowerRoman"/>
      <w:lvlText w:val="%2."/>
      <w:lvlJc w:val="left"/>
      <w:pPr>
        <w:ind w:left="1070" w:hanging="360"/>
      </w:pPr>
      <w:rPr>
        <w:rFonts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15:restartNumberingAfterBreak="0">
    <w:nsid w:val="397A4DB1"/>
    <w:multiLevelType w:val="hybridMultilevel"/>
    <w:tmpl w:val="C8F61786"/>
    <w:lvl w:ilvl="0" w:tplc="918ACE6A">
      <w:start w:val="1"/>
      <w:numFmt w:val="decimal"/>
      <w:pStyle w:val="COMParaDecision"/>
      <w:lvlText w:val="%1."/>
      <w:lvlJc w:val="left"/>
      <w:pPr>
        <w:ind w:left="1287" w:hanging="360"/>
      </w:pPr>
    </w:lvl>
    <w:lvl w:ilvl="1" w:tplc="040C0013">
      <w:start w:val="1"/>
      <w:numFmt w:val="upperRoman"/>
      <w:lvlText w:val="%2."/>
      <w:lvlJc w:val="right"/>
      <w:pPr>
        <w:ind w:left="163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 w15:restartNumberingAfterBreak="0">
    <w:nsid w:val="3A7C7628"/>
    <w:multiLevelType w:val="hybridMultilevel"/>
    <w:tmpl w:val="061498DE"/>
    <w:lvl w:ilvl="0" w:tplc="918ACE6A">
      <w:start w:val="1"/>
      <w:numFmt w:val="decimal"/>
      <w:lvlText w:val="%1."/>
      <w:lvlJc w:val="left"/>
      <w:pPr>
        <w:ind w:left="1287" w:hanging="360"/>
      </w:pPr>
    </w:lvl>
    <w:lvl w:ilvl="1" w:tplc="51209A0A">
      <w:start w:val="1"/>
      <w:numFmt w:val="lowerRoman"/>
      <w:lvlText w:val="%2."/>
      <w:lvlJc w:val="left"/>
      <w:pPr>
        <w:ind w:left="1637" w:hanging="360"/>
      </w:pPr>
      <w:rPr>
        <w:rFonts w:hint="default"/>
      </w:r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BE87FE8"/>
    <w:multiLevelType w:val="hybridMultilevel"/>
    <w:tmpl w:val="5664CA02"/>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5" w15:restartNumberingAfterBreak="0">
    <w:nsid w:val="430840C9"/>
    <w:multiLevelType w:val="hybridMultilevel"/>
    <w:tmpl w:val="C3B69D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4007E1F"/>
    <w:multiLevelType w:val="hybridMultilevel"/>
    <w:tmpl w:val="90A6DB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8" w15:restartNumberingAfterBreak="0">
    <w:nsid w:val="508005BC"/>
    <w:multiLevelType w:val="hybridMultilevel"/>
    <w:tmpl w:val="430A4D56"/>
    <w:lvl w:ilvl="0" w:tplc="040C001B">
      <w:start w:val="1"/>
      <w:numFmt w:val="lowerRoman"/>
      <w:lvlText w:val="%1."/>
      <w:lvlJc w:val="right"/>
      <w:pPr>
        <w:ind w:left="1069" w:hanging="360"/>
      </w:pPr>
    </w:lvl>
    <w:lvl w:ilvl="1" w:tplc="040C0019">
      <w:start w:val="1"/>
      <w:numFmt w:val="lowerLetter"/>
      <w:lvlText w:val="%2."/>
      <w:lvlJc w:val="left"/>
      <w:pPr>
        <w:ind w:left="1789" w:hanging="360"/>
      </w:pPr>
    </w:lvl>
    <w:lvl w:ilvl="2" w:tplc="040C001B">
      <w:start w:val="1"/>
      <w:numFmt w:val="lowerRoman"/>
      <w:lvlText w:val="%3."/>
      <w:lvlJc w:val="right"/>
      <w:pPr>
        <w:ind w:left="2509" w:hanging="180"/>
      </w:pPr>
    </w:lvl>
    <w:lvl w:ilvl="3" w:tplc="040C000F">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9" w15:restartNumberingAfterBreak="0">
    <w:nsid w:val="5B01759C"/>
    <w:multiLevelType w:val="hybridMultilevel"/>
    <w:tmpl w:val="7F4E6D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1" w15:restartNumberingAfterBreak="0">
    <w:nsid w:val="667856CA"/>
    <w:multiLevelType w:val="hybridMultilevel"/>
    <w:tmpl w:val="B7ACF4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7B72AA8"/>
    <w:multiLevelType w:val="hybridMultilevel"/>
    <w:tmpl w:val="561618A2"/>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DDF52C6"/>
    <w:multiLevelType w:val="hybridMultilevel"/>
    <w:tmpl w:val="0486E188"/>
    <w:lvl w:ilvl="0" w:tplc="040C000F">
      <w:start w:val="1"/>
      <w:numFmt w:val="decimal"/>
      <w:lvlText w:val="%1."/>
      <w:lvlJc w:val="left"/>
      <w:pPr>
        <w:ind w:left="107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3403C2F"/>
    <w:multiLevelType w:val="hybridMultilevel"/>
    <w:tmpl w:val="56B4C910"/>
    <w:lvl w:ilvl="0" w:tplc="040C001B">
      <w:start w:val="1"/>
      <w:numFmt w:val="lowerRoman"/>
      <w:lvlText w:val="%1."/>
      <w:lvlJc w:val="right"/>
      <w:pPr>
        <w:ind w:left="1070" w:hanging="360"/>
      </w:p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26"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0"/>
  </w:num>
  <w:num w:numId="2">
    <w:abstractNumId w:val="9"/>
  </w:num>
  <w:num w:numId="3">
    <w:abstractNumId w:val="6"/>
  </w:num>
  <w:num w:numId="4">
    <w:abstractNumId w:val="26"/>
  </w:num>
  <w:num w:numId="5">
    <w:abstractNumId w:val="22"/>
  </w:num>
  <w:num w:numId="6">
    <w:abstractNumId w:val="3"/>
  </w:num>
  <w:num w:numId="7">
    <w:abstractNumId w:val="7"/>
  </w:num>
  <w:num w:numId="8">
    <w:abstractNumId w:val="17"/>
  </w:num>
  <w:num w:numId="9">
    <w:abstractNumId w:val="8"/>
  </w:num>
  <w:num w:numId="10">
    <w:abstractNumId w:val="10"/>
  </w:num>
  <w:num w:numId="11">
    <w:abstractNumId w:val="14"/>
  </w:num>
  <w:num w:numId="12">
    <w:abstractNumId w:val="12"/>
  </w:num>
  <w:num w:numId="13">
    <w:abstractNumId w:val="8"/>
  </w:num>
  <w:num w:numId="14">
    <w:abstractNumId w:val="18"/>
  </w:num>
  <w:num w:numId="15">
    <w:abstractNumId w:val="8"/>
  </w:num>
  <w:num w:numId="16">
    <w:abstractNumId w:val="8"/>
  </w:num>
  <w:num w:numId="17">
    <w:abstractNumId w:val="4"/>
  </w:num>
  <w:num w:numId="18">
    <w:abstractNumId w:val="25"/>
  </w:num>
  <w:num w:numId="19">
    <w:abstractNumId w:val="8"/>
  </w:num>
  <w:num w:numId="20">
    <w:abstractNumId w:val="8"/>
  </w:num>
  <w:num w:numId="21">
    <w:abstractNumId w:val="1"/>
  </w:num>
  <w:num w:numId="22">
    <w:abstractNumId w:val="23"/>
  </w:num>
  <w:num w:numId="23">
    <w:abstractNumId w:val="15"/>
  </w:num>
  <w:num w:numId="24">
    <w:abstractNumId w:val="11"/>
  </w:num>
  <w:num w:numId="25">
    <w:abstractNumId w:val="13"/>
  </w:num>
  <w:num w:numId="26">
    <w:abstractNumId w:val="21"/>
  </w:num>
  <w:num w:numId="27">
    <w:abstractNumId w:val="16"/>
  </w:num>
  <w:num w:numId="28">
    <w:abstractNumId w:val="5"/>
  </w:num>
  <w:num w:numId="29">
    <w:abstractNumId w:val="19"/>
  </w:num>
  <w:num w:numId="30">
    <w:abstractNumId w:val="0"/>
  </w:num>
  <w:num w:numId="31">
    <w:abstractNumId w:val="8"/>
  </w:num>
  <w:num w:numId="32">
    <w:abstractNumId w:val="8"/>
  </w:num>
  <w:num w:numId="33">
    <w:abstractNumId w:val="8"/>
    <w:lvlOverride w:ilvl="0">
      <w:startOverride w:val="1"/>
    </w:lvlOverride>
  </w:num>
  <w:num w:numId="34">
    <w:abstractNumId w:val="8"/>
  </w:num>
  <w:num w:numId="35">
    <w:abstractNumId w:val="2"/>
  </w:num>
  <w:num w:numId="36">
    <w:abstractNumId w:val="24"/>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0"/>
  </w:num>
  <w:num w:numId="44">
    <w:abstractNumId w:val="10"/>
  </w:num>
  <w:num w:numId="45">
    <w:abstractNumId w:val="10"/>
  </w:num>
  <w:num w:numId="46">
    <w:abstractNumId w:val="10"/>
  </w:num>
  <w:num w:numId="47">
    <w:abstractNumId w:val="10"/>
  </w:num>
  <w:num w:numId="48">
    <w:abstractNumId w:val="10"/>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42"/>
    <w:rsid w:val="000048ED"/>
    <w:rsid w:val="000323EF"/>
    <w:rsid w:val="00041A66"/>
    <w:rsid w:val="00047656"/>
    <w:rsid w:val="0005176E"/>
    <w:rsid w:val="0005223A"/>
    <w:rsid w:val="000765F7"/>
    <w:rsid w:val="00077AB7"/>
    <w:rsid w:val="00081CD8"/>
    <w:rsid w:val="0008597B"/>
    <w:rsid w:val="000945DC"/>
    <w:rsid w:val="000A4F09"/>
    <w:rsid w:val="000A7F0E"/>
    <w:rsid w:val="000B1C8F"/>
    <w:rsid w:val="000B3A7B"/>
    <w:rsid w:val="000B4695"/>
    <w:rsid w:val="000C0D61"/>
    <w:rsid w:val="000C4519"/>
    <w:rsid w:val="000C7603"/>
    <w:rsid w:val="000F29FD"/>
    <w:rsid w:val="000F3A3F"/>
    <w:rsid w:val="00102557"/>
    <w:rsid w:val="00107FB8"/>
    <w:rsid w:val="00117E51"/>
    <w:rsid w:val="00151381"/>
    <w:rsid w:val="0015230D"/>
    <w:rsid w:val="00164D56"/>
    <w:rsid w:val="001663EF"/>
    <w:rsid w:val="00167B10"/>
    <w:rsid w:val="00173F64"/>
    <w:rsid w:val="0017402F"/>
    <w:rsid w:val="0018130E"/>
    <w:rsid w:val="00183158"/>
    <w:rsid w:val="001918B7"/>
    <w:rsid w:val="00196C1B"/>
    <w:rsid w:val="001B0F73"/>
    <w:rsid w:val="001B5BFE"/>
    <w:rsid w:val="001C2DB7"/>
    <w:rsid w:val="001C3F6F"/>
    <w:rsid w:val="001C5C9B"/>
    <w:rsid w:val="001D14FE"/>
    <w:rsid w:val="001D2A5E"/>
    <w:rsid w:val="001D5C04"/>
    <w:rsid w:val="001E0316"/>
    <w:rsid w:val="001F05F5"/>
    <w:rsid w:val="001F26CF"/>
    <w:rsid w:val="002158BA"/>
    <w:rsid w:val="00215F45"/>
    <w:rsid w:val="002229D8"/>
    <w:rsid w:val="00222A2D"/>
    <w:rsid w:val="00223029"/>
    <w:rsid w:val="00223BD0"/>
    <w:rsid w:val="002274E3"/>
    <w:rsid w:val="00234745"/>
    <w:rsid w:val="002351A6"/>
    <w:rsid w:val="002407AF"/>
    <w:rsid w:val="002540FF"/>
    <w:rsid w:val="00256238"/>
    <w:rsid w:val="00260D13"/>
    <w:rsid w:val="00263114"/>
    <w:rsid w:val="002713F5"/>
    <w:rsid w:val="0027466B"/>
    <w:rsid w:val="002838A5"/>
    <w:rsid w:val="00285A2D"/>
    <w:rsid w:val="00285BB4"/>
    <w:rsid w:val="00294728"/>
    <w:rsid w:val="002948F7"/>
    <w:rsid w:val="002A613D"/>
    <w:rsid w:val="002C09E3"/>
    <w:rsid w:val="002C1492"/>
    <w:rsid w:val="002D7B26"/>
    <w:rsid w:val="002E3702"/>
    <w:rsid w:val="002E5BA2"/>
    <w:rsid w:val="00304F41"/>
    <w:rsid w:val="00305298"/>
    <w:rsid w:val="00305618"/>
    <w:rsid w:val="00311348"/>
    <w:rsid w:val="00314522"/>
    <w:rsid w:val="00324205"/>
    <w:rsid w:val="003310EF"/>
    <w:rsid w:val="003325C0"/>
    <w:rsid w:val="00337CEB"/>
    <w:rsid w:val="00344B58"/>
    <w:rsid w:val="0034539A"/>
    <w:rsid w:val="00345CB4"/>
    <w:rsid w:val="00364DCC"/>
    <w:rsid w:val="00375D42"/>
    <w:rsid w:val="00376669"/>
    <w:rsid w:val="00392958"/>
    <w:rsid w:val="003C0FD9"/>
    <w:rsid w:val="003C3E4D"/>
    <w:rsid w:val="003D069C"/>
    <w:rsid w:val="003D7646"/>
    <w:rsid w:val="003E09E4"/>
    <w:rsid w:val="003E25A8"/>
    <w:rsid w:val="003F113A"/>
    <w:rsid w:val="003F3384"/>
    <w:rsid w:val="003F3E63"/>
    <w:rsid w:val="003F414F"/>
    <w:rsid w:val="00407480"/>
    <w:rsid w:val="00414643"/>
    <w:rsid w:val="00440B2B"/>
    <w:rsid w:val="004421E5"/>
    <w:rsid w:val="00445C5A"/>
    <w:rsid w:val="00445D38"/>
    <w:rsid w:val="00452284"/>
    <w:rsid w:val="00457C8E"/>
    <w:rsid w:val="00466183"/>
    <w:rsid w:val="00474D9B"/>
    <w:rsid w:val="004856CA"/>
    <w:rsid w:val="00486594"/>
    <w:rsid w:val="00487E67"/>
    <w:rsid w:val="0049705E"/>
    <w:rsid w:val="004A02C3"/>
    <w:rsid w:val="004A0E03"/>
    <w:rsid w:val="004A34A0"/>
    <w:rsid w:val="004A3D7F"/>
    <w:rsid w:val="004A4018"/>
    <w:rsid w:val="004A6732"/>
    <w:rsid w:val="004B1A4C"/>
    <w:rsid w:val="004C5520"/>
    <w:rsid w:val="004D4D3A"/>
    <w:rsid w:val="004E0232"/>
    <w:rsid w:val="004E2425"/>
    <w:rsid w:val="004E2752"/>
    <w:rsid w:val="004F270D"/>
    <w:rsid w:val="005008A8"/>
    <w:rsid w:val="0051439B"/>
    <w:rsid w:val="00517A25"/>
    <w:rsid w:val="00526B7B"/>
    <w:rsid w:val="005308CE"/>
    <w:rsid w:val="0053318C"/>
    <w:rsid w:val="0054676D"/>
    <w:rsid w:val="00546EA5"/>
    <w:rsid w:val="00562B5F"/>
    <w:rsid w:val="00571DD1"/>
    <w:rsid w:val="005740FA"/>
    <w:rsid w:val="0057439C"/>
    <w:rsid w:val="005750AA"/>
    <w:rsid w:val="00577CE6"/>
    <w:rsid w:val="00592CEE"/>
    <w:rsid w:val="005A25C6"/>
    <w:rsid w:val="005A2718"/>
    <w:rsid w:val="005A49DA"/>
    <w:rsid w:val="005A53AA"/>
    <w:rsid w:val="005B0127"/>
    <w:rsid w:val="005B3ABA"/>
    <w:rsid w:val="005B5CE7"/>
    <w:rsid w:val="005B7A35"/>
    <w:rsid w:val="005C4B73"/>
    <w:rsid w:val="005C4BD8"/>
    <w:rsid w:val="005E1D2B"/>
    <w:rsid w:val="005E7074"/>
    <w:rsid w:val="005F17CD"/>
    <w:rsid w:val="005F2BAF"/>
    <w:rsid w:val="00600D93"/>
    <w:rsid w:val="00606902"/>
    <w:rsid w:val="006112CC"/>
    <w:rsid w:val="00627E3F"/>
    <w:rsid w:val="0063300C"/>
    <w:rsid w:val="00633A4C"/>
    <w:rsid w:val="00634717"/>
    <w:rsid w:val="00635B26"/>
    <w:rsid w:val="006405D8"/>
    <w:rsid w:val="00655736"/>
    <w:rsid w:val="00663B8D"/>
    <w:rsid w:val="006715C3"/>
    <w:rsid w:val="00692707"/>
    <w:rsid w:val="00696C8D"/>
    <w:rsid w:val="00697B85"/>
    <w:rsid w:val="006A2AC2"/>
    <w:rsid w:val="006A3617"/>
    <w:rsid w:val="006B01C8"/>
    <w:rsid w:val="006B1706"/>
    <w:rsid w:val="006C255C"/>
    <w:rsid w:val="006D53DD"/>
    <w:rsid w:val="006E0E76"/>
    <w:rsid w:val="006E0FAE"/>
    <w:rsid w:val="006E2BAF"/>
    <w:rsid w:val="006E46E4"/>
    <w:rsid w:val="006F0FE4"/>
    <w:rsid w:val="006F1360"/>
    <w:rsid w:val="006F3E70"/>
    <w:rsid w:val="006F46FA"/>
    <w:rsid w:val="007154E6"/>
    <w:rsid w:val="00717DA5"/>
    <w:rsid w:val="007316E4"/>
    <w:rsid w:val="00735F2C"/>
    <w:rsid w:val="0073622C"/>
    <w:rsid w:val="00744484"/>
    <w:rsid w:val="00747566"/>
    <w:rsid w:val="00760C0C"/>
    <w:rsid w:val="00763BAC"/>
    <w:rsid w:val="00773188"/>
    <w:rsid w:val="00783782"/>
    <w:rsid w:val="00784B8C"/>
    <w:rsid w:val="007879E1"/>
    <w:rsid w:val="0079059B"/>
    <w:rsid w:val="007936A3"/>
    <w:rsid w:val="007B6FEB"/>
    <w:rsid w:val="007C6687"/>
    <w:rsid w:val="007D0046"/>
    <w:rsid w:val="007D26DD"/>
    <w:rsid w:val="007F6E51"/>
    <w:rsid w:val="00807690"/>
    <w:rsid w:val="00820D41"/>
    <w:rsid w:val="00823A11"/>
    <w:rsid w:val="00835A24"/>
    <w:rsid w:val="0085405E"/>
    <w:rsid w:val="0085414A"/>
    <w:rsid w:val="008561AD"/>
    <w:rsid w:val="0086269D"/>
    <w:rsid w:val="00864FAA"/>
    <w:rsid w:val="0086543A"/>
    <w:rsid w:val="008724E5"/>
    <w:rsid w:val="00884A9D"/>
    <w:rsid w:val="0088512B"/>
    <w:rsid w:val="008A0CE1"/>
    <w:rsid w:val="008A2B2D"/>
    <w:rsid w:val="008A4E1E"/>
    <w:rsid w:val="008A73D5"/>
    <w:rsid w:val="008B3C63"/>
    <w:rsid w:val="008B67DD"/>
    <w:rsid w:val="008C296C"/>
    <w:rsid w:val="008C6EAC"/>
    <w:rsid w:val="008D4305"/>
    <w:rsid w:val="008E1A85"/>
    <w:rsid w:val="008E1B34"/>
    <w:rsid w:val="008E1DF0"/>
    <w:rsid w:val="008E25C4"/>
    <w:rsid w:val="008E4BA2"/>
    <w:rsid w:val="008F0927"/>
    <w:rsid w:val="008F629F"/>
    <w:rsid w:val="008F7FB6"/>
    <w:rsid w:val="00901FC9"/>
    <w:rsid w:val="00915736"/>
    <w:rsid w:val="009163A7"/>
    <w:rsid w:val="00920819"/>
    <w:rsid w:val="009307BD"/>
    <w:rsid w:val="00942B5F"/>
    <w:rsid w:val="00944062"/>
    <w:rsid w:val="00946D0B"/>
    <w:rsid w:val="009519DF"/>
    <w:rsid w:val="00954056"/>
    <w:rsid w:val="00955877"/>
    <w:rsid w:val="009622CD"/>
    <w:rsid w:val="009702A5"/>
    <w:rsid w:val="0098792A"/>
    <w:rsid w:val="00994B9A"/>
    <w:rsid w:val="00996D9E"/>
    <w:rsid w:val="00997BA4"/>
    <w:rsid w:val="009A18CD"/>
    <w:rsid w:val="009A6AD1"/>
    <w:rsid w:val="009C3A19"/>
    <w:rsid w:val="009C75E0"/>
    <w:rsid w:val="009D0550"/>
    <w:rsid w:val="009D29EF"/>
    <w:rsid w:val="009D5428"/>
    <w:rsid w:val="009E1A4D"/>
    <w:rsid w:val="009E4949"/>
    <w:rsid w:val="009E6093"/>
    <w:rsid w:val="00A00ED9"/>
    <w:rsid w:val="00A019D3"/>
    <w:rsid w:val="00A06531"/>
    <w:rsid w:val="00A0724D"/>
    <w:rsid w:val="00A12558"/>
    <w:rsid w:val="00A13708"/>
    <w:rsid w:val="00A13903"/>
    <w:rsid w:val="00A27EA6"/>
    <w:rsid w:val="00A34ED5"/>
    <w:rsid w:val="00A36DFA"/>
    <w:rsid w:val="00A42522"/>
    <w:rsid w:val="00A45DBF"/>
    <w:rsid w:val="00A53AE0"/>
    <w:rsid w:val="00A622C3"/>
    <w:rsid w:val="00A6371F"/>
    <w:rsid w:val="00A755A2"/>
    <w:rsid w:val="00A80753"/>
    <w:rsid w:val="00A80F68"/>
    <w:rsid w:val="00A91B65"/>
    <w:rsid w:val="00A926AC"/>
    <w:rsid w:val="00A927EA"/>
    <w:rsid w:val="00A97F62"/>
    <w:rsid w:val="00AA4589"/>
    <w:rsid w:val="00AA6660"/>
    <w:rsid w:val="00AB2C36"/>
    <w:rsid w:val="00AB3D4D"/>
    <w:rsid w:val="00AB6DDE"/>
    <w:rsid w:val="00AB70B6"/>
    <w:rsid w:val="00AC202D"/>
    <w:rsid w:val="00AC2C37"/>
    <w:rsid w:val="00AC75D2"/>
    <w:rsid w:val="00AD1A86"/>
    <w:rsid w:val="00AE103E"/>
    <w:rsid w:val="00AE2A5F"/>
    <w:rsid w:val="00AF0A07"/>
    <w:rsid w:val="00AF4AEC"/>
    <w:rsid w:val="00AF625E"/>
    <w:rsid w:val="00B03F0D"/>
    <w:rsid w:val="00B07DFC"/>
    <w:rsid w:val="00B404A0"/>
    <w:rsid w:val="00B4054A"/>
    <w:rsid w:val="00B464CF"/>
    <w:rsid w:val="00B5341A"/>
    <w:rsid w:val="00B55064"/>
    <w:rsid w:val="00B55744"/>
    <w:rsid w:val="00B656CE"/>
    <w:rsid w:val="00B67CA3"/>
    <w:rsid w:val="00B733DF"/>
    <w:rsid w:val="00B73ABC"/>
    <w:rsid w:val="00B7771F"/>
    <w:rsid w:val="00B85CD1"/>
    <w:rsid w:val="00B964EF"/>
    <w:rsid w:val="00BA1ABC"/>
    <w:rsid w:val="00BB04AF"/>
    <w:rsid w:val="00BC59E8"/>
    <w:rsid w:val="00BC658B"/>
    <w:rsid w:val="00BC7C0D"/>
    <w:rsid w:val="00BD3EE7"/>
    <w:rsid w:val="00BD52C9"/>
    <w:rsid w:val="00BE01DA"/>
    <w:rsid w:val="00BE6354"/>
    <w:rsid w:val="00C11A1D"/>
    <w:rsid w:val="00C13057"/>
    <w:rsid w:val="00C138D1"/>
    <w:rsid w:val="00C21D59"/>
    <w:rsid w:val="00C23A97"/>
    <w:rsid w:val="00C2402A"/>
    <w:rsid w:val="00C34B13"/>
    <w:rsid w:val="00C35797"/>
    <w:rsid w:val="00C37886"/>
    <w:rsid w:val="00C453D2"/>
    <w:rsid w:val="00C63316"/>
    <w:rsid w:val="00C64855"/>
    <w:rsid w:val="00C648CE"/>
    <w:rsid w:val="00C70EA7"/>
    <w:rsid w:val="00C7433F"/>
    <w:rsid w:val="00C7453F"/>
    <w:rsid w:val="00C748F5"/>
    <w:rsid w:val="00C7516E"/>
    <w:rsid w:val="00C75770"/>
    <w:rsid w:val="00C93F39"/>
    <w:rsid w:val="00C953EB"/>
    <w:rsid w:val="00CA394F"/>
    <w:rsid w:val="00CA487E"/>
    <w:rsid w:val="00CA56BB"/>
    <w:rsid w:val="00CB0542"/>
    <w:rsid w:val="00CB684C"/>
    <w:rsid w:val="00CC29CC"/>
    <w:rsid w:val="00CD2126"/>
    <w:rsid w:val="00CE60A2"/>
    <w:rsid w:val="00CE6B82"/>
    <w:rsid w:val="00CF6DF3"/>
    <w:rsid w:val="00D00B2B"/>
    <w:rsid w:val="00D01610"/>
    <w:rsid w:val="00D07AEB"/>
    <w:rsid w:val="00D16318"/>
    <w:rsid w:val="00D242E7"/>
    <w:rsid w:val="00D24877"/>
    <w:rsid w:val="00D37AA5"/>
    <w:rsid w:val="00D41343"/>
    <w:rsid w:val="00D4220E"/>
    <w:rsid w:val="00D4791A"/>
    <w:rsid w:val="00D51033"/>
    <w:rsid w:val="00D52090"/>
    <w:rsid w:val="00D66BAA"/>
    <w:rsid w:val="00D71B40"/>
    <w:rsid w:val="00D724FC"/>
    <w:rsid w:val="00D73AE7"/>
    <w:rsid w:val="00D74A17"/>
    <w:rsid w:val="00D77D62"/>
    <w:rsid w:val="00D81384"/>
    <w:rsid w:val="00D8250F"/>
    <w:rsid w:val="00D826B5"/>
    <w:rsid w:val="00D87CCC"/>
    <w:rsid w:val="00D908D3"/>
    <w:rsid w:val="00D95C4C"/>
    <w:rsid w:val="00D95DF8"/>
    <w:rsid w:val="00DA36ED"/>
    <w:rsid w:val="00DA37E2"/>
    <w:rsid w:val="00DA4F7F"/>
    <w:rsid w:val="00DA58FD"/>
    <w:rsid w:val="00DB42C3"/>
    <w:rsid w:val="00DC0B55"/>
    <w:rsid w:val="00DD6483"/>
    <w:rsid w:val="00DE34F1"/>
    <w:rsid w:val="00DE3D8E"/>
    <w:rsid w:val="00DE6160"/>
    <w:rsid w:val="00DF4942"/>
    <w:rsid w:val="00E052E8"/>
    <w:rsid w:val="00E2250E"/>
    <w:rsid w:val="00E23212"/>
    <w:rsid w:val="00E244E1"/>
    <w:rsid w:val="00E3104E"/>
    <w:rsid w:val="00E376FE"/>
    <w:rsid w:val="00E447D3"/>
    <w:rsid w:val="00E461BB"/>
    <w:rsid w:val="00E518C5"/>
    <w:rsid w:val="00E627B1"/>
    <w:rsid w:val="00E70169"/>
    <w:rsid w:val="00E72EAE"/>
    <w:rsid w:val="00E90251"/>
    <w:rsid w:val="00E9376C"/>
    <w:rsid w:val="00E95AE2"/>
    <w:rsid w:val="00EA335E"/>
    <w:rsid w:val="00EA528C"/>
    <w:rsid w:val="00EA580C"/>
    <w:rsid w:val="00EC6F8D"/>
    <w:rsid w:val="00EE49F4"/>
    <w:rsid w:val="00EF34E2"/>
    <w:rsid w:val="00EF6E74"/>
    <w:rsid w:val="00EF7851"/>
    <w:rsid w:val="00F0172A"/>
    <w:rsid w:val="00F100DB"/>
    <w:rsid w:val="00F27651"/>
    <w:rsid w:val="00F30DC6"/>
    <w:rsid w:val="00F32C23"/>
    <w:rsid w:val="00F53DE9"/>
    <w:rsid w:val="00F54255"/>
    <w:rsid w:val="00F55D0C"/>
    <w:rsid w:val="00F576CB"/>
    <w:rsid w:val="00F62C54"/>
    <w:rsid w:val="00F7035D"/>
    <w:rsid w:val="00F71A02"/>
    <w:rsid w:val="00F71DB7"/>
    <w:rsid w:val="00F735F6"/>
    <w:rsid w:val="00F80F87"/>
    <w:rsid w:val="00F96D2E"/>
    <w:rsid w:val="00FA0D63"/>
    <w:rsid w:val="00FA0DC3"/>
    <w:rsid w:val="00FA238A"/>
    <w:rsid w:val="00FB2400"/>
    <w:rsid w:val="00FB382A"/>
    <w:rsid w:val="00FB7250"/>
    <w:rsid w:val="00FC24B5"/>
    <w:rsid w:val="00FC6234"/>
    <w:rsid w:val="00FD0512"/>
    <w:rsid w:val="00FD1226"/>
    <w:rsid w:val="00FF4830"/>
    <w:rsid w:val="00FF65F2"/>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7CFC877"/>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rPr>
  </w:style>
  <w:style w:type="paragraph" w:styleId="Heading1">
    <w:name w:val="heading 1"/>
    <w:basedOn w:val="Normal"/>
    <w:next w:val="Normal"/>
    <w:link w:val="Heading1Char"/>
    <w:uiPriority w:val="9"/>
    <w:rsid w:val="00DB42C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6B01C8"/>
    <w:rPr>
      <w:color w:val="0000FF" w:themeColor="hyperlink"/>
      <w:u w:val="single"/>
    </w:rPr>
  </w:style>
  <w:style w:type="character" w:customStyle="1" w:styleId="atenuated">
    <w:name w:val="atenuated"/>
    <w:basedOn w:val="DefaultParagraphFont"/>
    <w:rsid w:val="00173F64"/>
  </w:style>
  <w:style w:type="table" w:customStyle="1" w:styleId="GridTable4-Accent11">
    <w:name w:val="Grid Table 4 - Accent 11"/>
    <w:basedOn w:val="TableNormal"/>
    <w:uiPriority w:val="49"/>
    <w:rsid w:val="00B7771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Paragraph">
    <w:name w:val="List Paragraph"/>
    <w:basedOn w:val="Normal"/>
    <w:uiPriority w:val="34"/>
    <w:rsid w:val="008E1DF0"/>
    <w:pPr>
      <w:ind w:left="720"/>
      <w:contextualSpacing/>
    </w:pPr>
  </w:style>
  <w:style w:type="character" w:styleId="FollowedHyperlink">
    <w:name w:val="FollowedHyperlink"/>
    <w:basedOn w:val="DefaultParagraphFont"/>
    <w:uiPriority w:val="99"/>
    <w:semiHidden/>
    <w:unhideWhenUsed/>
    <w:rsid w:val="00B4054A"/>
    <w:rPr>
      <w:color w:val="800080" w:themeColor="followedHyperlink"/>
      <w:u w:val="single"/>
    </w:rPr>
  </w:style>
  <w:style w:type="paragraph" w:styleId="FootnoteText">
    <w:name w:val="footnote text"/>
    <w:basedOn w:val="Normal"/>
    <w:link w:val="FootnoteTextChar"/>
    <w:uiPriority w:val="99"/>
    <w:unhideWhenUsed/>
    <w:rsid w:val="00692707"/>
    <w:rPr>
      <w:sz w:val="20"/>
      <w:szCs w:val="20"/>
    </w:rPr>
  </w:style>
  <w:style w:type="character" w:customStyle="1" w:styleId="FootnoteTextChar">
    <w:name w:val="Footnote Text Char"/>
    <w:basedOn w:val="DefaultParagraphFont"/>
    <w:link w:val="FootnoteText"/>
    <w:uiPriority w:val="99"/>
    <w:rsid w:val="00692707"/>
    <w:rPr>
      <w:rFonts w:ascii="Times New Roman" w:eastAsia="Times New Roman" w:hAnsi="Times New Roman"/>
    </w:rPr>
  </w:style>
  <w:style w:type="character" w:styleId="FootnoteReference">
    <w:name w:val="footnote reference"/>
    <w:basedOn w:val="DefaultParagraphFont"/>
    <w:uiPriority w:val="99"/>
    <w:semiHidden/>
    <w:unhideWhenUsed/>
    <w:rsid w:val="00692707"/>
    <w:rPr>
      <w:vertAlign w:val="superscript"/>
    </w:rPr>
  </w:style>
  <w:style w:type="character" w:customStyle="1" w:styleId="Heading1Char">
    <w:name w:val="Heading 1 Char"/>
    <w:basedOn w:val="DefaultParagraphFont"/>
    <w:link w:val="Heading1"/>
    <w:uiPriority w:val="9"/>
    <w:rsid w:val="00DB42C3"/>
    <w:rPr>
      <w:rFonts w:asciiTheme="majorHAnsi" w:eastAsiaTheme="majorEastAsia" w:hAnsiTheme="majorHAnsi" w:cstheme="majorBidi"/>
      <w:color w:val="365F91" w:themeColor="accent1" w:themeShade="BF"/>
      <w:sz w:val="32"/>
      <w:szCs w:val="32"/>
    </w:rPr>
  </w:style>
  <w:style w:type="paragraph" w:styleId="EndnoteText">
    <w:name w:val="endnote text"/>
    <w:basedOn w:val="Normal"/>
    <w:link w:val="EndnoteTextChar"/>
    <w:uiPriority w:val="99"/>
    <w:semiHidden/>
    <w:unhideWhenUsed/>
    <w:rsid w:val="00D81384"/>
    <w:rPr>
      <w:sz w:val="20"/>
      <w:szCs w:val="20"/>
    </w:rPr>
  </w:style>
  <w:style w:type="character" w:customStyle="1" w:styleId="EndnoteTextChar">
    <w:name w:val="Endnote Text Char"/>
    <w:basedOn w:val="DefaultParagraphFont"/>
    <w:link w:val="EndnoteText"/>
    <w:uiPriority w:val="99"/>
    <w:semiHidden/>
    <w:rsid w:val="00D81384"/>
    <w:rPr>
      <w:rFonts w:ascii="Times New Roman" w:eastAsia="Times New Roman" w:hAnsi="Times New Roman"/>
    </w:rPr>
  </w:style>
  <w:style w:type="character" w:styleId="EndnoteReference">
    <w:name w:val="endnote reference"/>
    <w:basedOn w:val="DefaultParagraphFont"/>
    <w:uiPriority w:val="99"/>
    <w:semiHidden/>
    <w:unhideWhenUsed/>
    <w:rsid w:val="00D81384"/>
    <w:rPr>
      <w:vertAlign w:val="superscript"/>
    </w:rPr>
  </w:style>
  <w:style w:type="character" w:styleId="CommentReference">
    <w:name w:val="annotation reference"/>
    <w:basedOn w:val="DefaultParagraphFont"/>
    <w:uiPriority w:val="99"/>
    <w:semiHidden/>
    <w:unhideWhenUsed/>
    <w:rsid w:val="00E3104E"/>
    <w:rPr>
      <w:sz w:val="16"/>
      <w:szCs w:val="16"/>
    </w:rPr>
  </w:style>
  <w:style w:type="paragraph" w:styleId="CommentText">
    <w:name w:val="annotation text"/>
    <w:basedOn w:val="Normal"/>
    <w:link w:val="CommentTextChar"/>
    <w:uiPriority w:val="99"/>
    <w:semiHidden/>
    <w:unhideWhenUsed/>
    <w:rsid w:val="00E3104E"/>
    <w:rPr>
      <w:sz w:val="20"/>
      <w:szCs w:val="20"/>
    </w:rPr>
  </w:style>
  <w:style w:type="character" w:customStyle="1" w:styleId="CommentTextChar">
    <w:name w:val="Comment Text Char"/>
    <w:basedOn w:val="DefaultParagraphFont"/>
    <w:link w:val="CommentText"/>
    <w:uiPriority w:val="99"/>
    <w:semiHidden/>
    <w:rsid w:val="00E3104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3104E"/>
    <w:rPr>
      <w:b/>
      <w:bCs/>
    </w:rPr>
  </w:style>
  <w:style w:type="character" w:customStyle="1" w:styleId="CommentSubjectChar">
    <w:name w:val="Comment Subject Char"/>
    <w:basedOn w:val="CommentTextChar"/>
    <w:link w:val="CommentSubject"/>
    <w:uiPriority w:val="99"/>
    <w:semiHidden/>
    <w:rsid w:val="00E3104E"/>
    <w:rPr>
      <w:rFonts w:ascii="Times New Roman" w:eastAsia="Times New Roman" w:hAnsi="Times New Roman"/>
      <w:b/>
      <w:bCs/>
    </w:rPr>
  </w:style>
  <w:style w:type="paragraph" w:styleId="Revision">
    <w:name w:val="Revision"/>
    <w:hidden/>
    <w:uiPriority w:val="99"/>
    <w:semiHidden/>
    <w:rsid w:val="00E3104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9810">
      <w:bodyDiv w:val="1"/>
      <w:marLeft w:val="0"/>
      <w:marRight w:val="0"/>
      <w:marTop w:val="0"/>
      <w:marBottom w:val="0"/>
      <w:divBdr>
        <w:top w:val="none" w:sz="0" w:space="0" w:color="auto"/>
        <w:left w:val="none" w:sz="0" w:space="0" w:color="auto"/>
        <w:bottom w:val="none" w:sz="0" w:space="0" w:color="auto"/>
        <w:right w:val="none" w:sz="0" w:space="0" w:color="auto"/>
      </w:divBdr>
    </w:div>
    <w:div w:id="161630323">
      <w:bodyDiv w:val="1"/>
      <w:marLeft w:val="0"/>
      <w:marRight w:val="0"/>
      <w:marTop w:val="0"/>
      <w:marBottom w:val="0"/>
      <w:divBdr>
        <w:top w:val="none" w:sz="0" w:space="0" w:color="auto"/>
        <w:left w:val="none" w:sz="0" w:space="0" w:color="auto"/>
        <w:bottom w:val="none" w:sz="0" w:space="0" w:color="auto"/>
        <w:right w:val="none" w:sz="0" w:space="0" w:color="auto"/>
      </w:divBdr>
    </w:div>
    <w:div w:id="246765845">
      <w:bodyDiv w:val="1"/>
      <w:marLeft w:val="0"/>
      <w:marRight w:val="0"/>
      <w:marTop w:val="0"/>
      <w:marBottom w:val="0"/>
      <w:divBdr>
        <w:top w:val="none" w:sz="0" w:space="0" w:color="auto"/>
        <w:left w:val="none" w:sz="0" w:space="0" w:color="auto"/>
        <w:bottom w:val="none" w:sz="0" w:space="0" w:color="auto"/>
        <w:right w:val="none" w:sz="0" w:space="0" w:color="auto"/>
      </w:divBdr>
    </w:div>
    <w:div w:id="489444330">
      <w:bodyDiv w:val="1"/>
      <w:marLeft w:val="0"/>
      <w:marRight w:val="0"/>
      <w:marTop w:val="0"/>
      <w:marBottom w:val="0"/>
      <w:divBdr>
        <w:top w:val="none" w:sz="0" w:space="0" w:color="auto"/>
        <w:left w:val="none" w:sz="0" w:space="0" w:color="auto"/>
        <w:bottom w:val="none" w:sz="0" w:space="0" w:color="auto"/>
        <w:right w:val="none" w:sz="0" w:space="0" w:color="auto"/>
      </w:divBdr>
    </w:div>
    <w:div w:id="501512542">
      <w:bodyDiv w:val="1"/>
      <w:marLeft w:val="0"/>
      <w:marRight w:val="0"/>
      <w:marTop w:val="0"/>
      <w:marBottom w:val="0"/>
      <w:divBdr>
        <w:top w:val="none" w:sz="0" w:space="0" w:color="auto"/>
        <w:left w:val="none" w:sz="0" w:space="0" w:color="auto"/>
        <w:bottom w:val="none" w:sz="0" w:space="0" w:color="auto"/>
        <w:right w:val="none" w:sz="0" w:space="0" w:color="auto"/>
      </w:divBdr>
    </w:div>
    <w:div w:id="565802461">
      <w:bodyDiv w:val="1"/>
      <w:marLeft w:val="0"/>
      <w:marRight w:val="0"/>
      <w:marTop w:val="0"/>
      <w:marBottom w:val="0"/>
      <w:divBdr>
        <w:top w:val="none" w:sz="0" w:space="0" w:color="auto"/>
        <w:left w:val="none" w:sz="0" w:space="0" w:color="auto"/>
        <w:bottom w:val="none" w:sz="0" w:space="0" w:color="auto"/>
        <w:right w:val="none" w:sz="0" w:space="0" w:color="auto"/>
      </w:divBdr>
    </w:div>
    <w:div w:id="773984917">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195998165">
      <w:bodyDiv w:val="1"/>
      <w:marLeft w:val="0"/>
      <w:marRight w:val="0"/>
      <w:marTop w:val="0"/>
      <w:marBottom w:val="0"/>
      <w:divBdr>
        <w:top w:val="none" w:sz="0" w:space="0" w:color="auto"/>
        <w:left w:val="none" w:sz="0" w:space="0" w:color="auto"/>
        <w:bottom w:val="none" w:sz="0" w:space="0" w:color="auto"/>
        <w:right w:val="none" w:sz="0" w:space="0" w:color="auto"/>
      </w:divBdr>
    </w:div>
    <w:div w:id="1440219732">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ITH-17-12.COM_WG-5-EN.doc" TargetMode="External"/><Relationship Id="rId13" Type="http://schemas.openxmlformats.org/officeDocument/2006/relationships/hyperlink" Target="https://ich.unesco.org/en/Resolutions/7.GA/10" TargetMode="External"/><Relationship Id="rId18" Type="http://schemas.openxmlformats.org/officeDocument/2006/relationships/hyperlink" Target="https://ich.unesco.org/en/Decisions/12.COM/1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ch.unesco.org/en/Resolutions/7.GA/10" TargetMode="External"/><Relationship Id="rId7" Type="http://schemas.openxmlformats.org/officeDocument/2006/relationships/endnotes" Target="endnotes.xml"/><Relationship Id="rId12" Type="http://schemas.openxmlformats.org/officeDocument/2006/relationships/hyperlink" Target="https://ich.unesco.org/en/Resolutions/7.GA/9" TargetMode="External"/><Relationship Id="rId17" Type="http://schemas.openxmlformats.org/officeDocument/2006/relationships/hyperlink" Target="https://ich.unesco.org/doc/src/ITH-18-13.COM-9-EN.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ch.unesco.org/en/Decisions/12.COM/14" TargetMode="External"/><Relationship Id="rId20" Type="http://schemas.openxmlformats.org/officeDocument/2006/relationships/hyperlink" Target="https://ich.unesco.org/en/Decisions/12.COM/10"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en/Decisions/12.COM/10"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ich.unesco.org/en/Decisions/11.COM/6" TargetMode="External"/><Relationship Id="rId23" Type="http://schemas.openxmlformats.org/officeDocument/2006/relationships/header" Target="header2.xml"/><Relationship Id="rId10" Type="http://schemas.openxmlformats.org/officeDocument/2006/relationships/hyperlink" Target="https://ich.unesco.org/en/Decisions/12.COM/10" TargetMode="External"/><Relationship Id="rId19" Type="http://schemas.openxmlformats.org/officeDocument/2006/relationships/hyperlink" Target="https://ich.unesco.org/doc/src/ITH-17-12.COM-10-EN.docx" TargetMode="External"/><Relationship Id="rId4" Type="http://schemas.openxmlformats.org/officeDocument/2006/relationships/settings" Target="settings.xml"/><Relationship Id="rId9" Type="http://schemas.openxmlformats.org/officeDocument/2006/relationships/hyperlink" Target="https://ich.unesco.org/doc/src/ITH-17-12.COM_WG-7-EN.doc" TargetMode="External"/><Relationship Id="rId14" Type="http://schemas.openxmlformats.org/officeDocument/2006/relationships/hyperlink" Target="https://ich.unesco.org/en/Decisions/12.COM/10"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unesdoc.unesco.org/images/0026/002617/261751e.pdf" TargetMode="External"/><Relationship Id="rId1" Type="http://schemas.openxmlformats.org/officeDocument/2006/relationships/hyperlink" Target="http://unesdoc.unesco.org/images/0026/002617/261751e.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C51E8-49C1-48BC-AE06-D4626FF21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206</TotalTime>
  <Pages>8</Pages>
  <Words>3208</Words>
  <Characters>18286</Characters>
  <Application>Microsoft Office Word</Application>
  <DocSecurity>0</DocSecurity>
  <Lines>152</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Scepi, Giovanni</dc:creator>
  <cp:lastModifiedBy>Shin, Eunkyung</cp:lastModifiedBy>
  <cp:revision>11</cp:revision>
  <cp:lastPrinted>2018-10-03T09:30:00Z</cp:lastPrinted>
  <dcterms:created xsi:type="dcterms:W3CDTF">2018-10-05T14:30:00Z</dcterms:created>
  <dcterms:modified xsi:type="dcterms:W3CDTF">2018-10-26T14:43:00Z</dcterms:modified>
</cp:coreProperties>
</file>